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6C0B1" w14:textId="3B6BBDC9" w:rsidR="00110456" w:rsidRDefault="004B2B37">
      <w:pPr>
        <w:spacing w:line="280" w:lineRule="exact"/>
        <w:contextualSpacing/>
        <w:jc w:val="center"/>
        <w:rPr>
          <w:rFonts w:ascii="Times New Roman" w:eastAsia="AdvOTea1a7398" w:hAnsi="Times New Roman"/>
          <w:b/>
          <w:bCs/>
          <w:kern w:val="0"/>
          <w:sz w:val="24"/>
          <w:szCs w:val="24"/>
        </w:rPr>
      </w:pPr>
      <w:r w:rsidRPr="004B2B37">
        <w:rPr>
          <w:rFonts w:ascii="Times New Roman" w:eastAsia="AdvOTea1a7398" w:hAnsi="Times New Roman"/>
          <w:b/>
          <w:bCs/>
          <w:kern w:val="0"/>
          <w:sz w:val="24"/>
          <w:szCs w:val="24"/>
        </w:rPr>
        <w:t>Floquet synthetic dimensions for analog Hamiltonian simulation of topological physics</w:t>
      </w:r>
    </w:p>
    <w:p w14:paraId="6BBB3E8F" w14:textId="77777777" w:rsidR="00110456" w:rsidRDefault="00110456">
      <w:pPr>
        <w:spacing w:line="280" w:lineRule="exact"/>
        <w:contextualSpacing/>
        <w:jc w:val="center"/>
        <w:rPr>
          <w:rFonts w:ascii="Times New Roman" w:eastAsia="AdvOTea1a7398" w:hAnsi="Times New Roman"/>
          <w:kern w:val="0"/>
          <w:szCs w:val="21"/>
        </w:rPr>
      </w:pPr>
    </w:p>
    <w:p w14:paraId="095BE23F" w14:textId="504C0C97" w:rsidR="00110456" w:rsidRDefault="004B2B37">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University of Maryland, USA</w:t>
      </w:r>
    </w:p>
    <w:p w14:paraId="25034CC0" w14:textId="77777777" w:rsidR="00110456" w:rsidRDefault="00110456">
      <w:pPr>
        <w:spacing w:line="280" w:lineRule="exact"/>
        <w:contextualSpacing/>
        <w:jc w:val="center"/>
        <w:rPr>
          <w:rFonts w:ascii="Times New Roman" w:eastAsia="AdvOTea1a7398" w:hAnsi="Times New Roman"/>
          <w:kern w:val="0"/>
          <w:szCs w:val="21"/>
        </w:rPr>
      </w:pPr>
    </w:p>
    <w:p w14:paraId="0AA42EA1" w14:textId="6FADD922" w:rsidR="00110456" w:rsidRDefault="004B2B37">
      <w:pPr>
        <w:spacing w:line="280" w:lineRule="exact"/>
        <w:contextualSpacing/>
        <w:jc w:val="center"/>
        <w:rPr>
          <w:rFonts w:ascii="Times New Roman" w:eastAsia="AdvOTea1a7398" w:hAnsi="Times New Roman"/>
          <w:b/>
          <w:kern w:val="0"/>
          <w:szCs w:val="21"/>
        </w:rPr>
      </w:pPr>
      <w:r>
        <w:rPr>
          <w:rFonts w:ascii="Times New Roman" w:eastAsia="AdvOTea1a7398" w:hAnsi="Times New Roman"/>
          <w:b/>
          <w:kern w:val="0"/>
          <w:szCs w:val="21"/>
        </w:rPr>
        <w:t>Avik Dutt</w:t>
      </w:r>
    </w:p>
    <w:p w14:paraId="579D97E6" w14:textId="2150F994" w:rsidR="00E002F1" w:rsidRDefault="00E002F1">
      <w:pPr>
        <w:spacing w:line="280" w:lineRule="exact"/>
        <w:contextualSpacing/>
        <w:jc w:val="center"/>
        <w:rPr>
          <w:rFonts w:ascii="Times New Roman" w:eastAsia="AdvOTea1a7398" w:hAnsi="Times New Roman"/>
          <w:b/>
          <w:kern w:val="0"/>
          <w:szCs w:val="21"/>
        </w:rPr>
      </w:pPr>
      <w:r>
        <w:rPr>
          <w:rFonts w:ascii="Times New Roman" w:eastAsia="AdvOTea1a7398" w:hAnsi="Times New Roman" w:hint="eastAsia"/>
          <w:b/>
          <w:kern w:val="0"/>
          <w:szCs w:val="21"/>
        </w:rPr>
        <w:t>Email:</w:t>
      </w:r>
      <w:r>
        <w:rPr>
          <w:rFonts w:ascii="Times New Roman" w:eastAsia="AdvOTea1a7398" w:hAnsi="Times New Roman"/>
          <w:b/>
          <w:kern w:val="0"/>
          <w:szCs w:val="21"/>
        </w:rPr>
        <w:t xml:space="preserve"> </w:t>
      </w:r>
      <w:r w:rsidR="004B2B37">
        <w:rPr>
          <w:rFonts w:ascii="Times New Roman" w:eastAsia="AdvOTea1a7398" w:hAnsi="Times New Roman"/>
          <w:b/>
          <w:kern w:val="0"/>
          <w:szCs w:val="21"/>
        </w:rPr>
        <w:t>avikdutt@umd.edu</w:t>
      </w:r>
    </w:p>
    <w:p w14:paraId="53D94259" w14:textId="77777777" w:rsidR="00110456" w:rsidRDefault="00110456">
      <w:pPr>
        <w:spacing w:line="280" w:lineRule="exact"/>
        <w:contextualSpacing/>
        <w:jc w:val="center"/>
        <w:rPr>
          <w:rFonts w:ascii="Times New Roman" w:eastAsia="AdvOTea1a7398" w:hAnsi="Times New Roman"/>
          <w:kern w:val="0"/>
          <w:szCs w:val="21"/>
        </w:rPr>
      </w:pPr>
    </w:p>
    <w:p w14:paraId="50112B23" w14:textId="067FF47A" w:rsidR="00110456" w:rsidRDefault="004B2B37" w:rsidP="004B2B37">
      <w:pPr>
        <w:overflowPunct w:val="0"/>
        <w:autoSpaceDE w:val="0"/>
        <w:autoSpaceDN w:val="0"/>
        <w:jc w:val="left"/>
        <w:rPr>
          <w:rFonts w:ascii="Times New Roman" w:eastAsia="AdvOTea1a7398" w:hAnsi="Times New Roman"/>
          <w:kern w:val="0"/>
          <w:szCs w:val="21"/>
        </w:rPr>
      </w:pPr>
      <w:r w:rsidRPr="004B2B37">
        <w:rPr>
          <w:rFonts w:ascii="Times New Roman" w:eastAsia="AdvOTea1a7398" w:hAnsi="Times New Roman"/>
          <w:kern w:val="0"/>
          <w:szCs w:val="21"/>
        </w:rPr>
        <w:t>Dynamically modulated photonic resonators offer tantalizing possibilities for building analog simulators of Hamiltonians both in the quantum and classical realm. Particularly, synthetic frequency dimensions formed through modulation at the resonator’s free-spectral range have been used to demonstrate a wide variety of topologically nontrivial phenomena, both in Hermitian and non-Hermitian systems. In this talk, I will introduce another synthetic dimension platform using modulation at frequencies far below the FSR of the resonators, making it more amenable to on-chip implementations. This platform, which we term Floquet synthetic dimensions, allows for direct reciprocal-space (k-space) engineering of lattice Hamiltonians in high dimensions through modulation at multiple irrationally related frequencies applied to a photonic molecule. Quantized transport – the hallmark of topology – not only survives multiple RF and optical drives, but is abetted by finite dissipation in this Floquet dimension platform. Our preliminary experiments provide support for the contrast between topological and trivial regimes. Furthermore, we provide a path to realizing Weyl points and measuring the Berry curvature emanating from these k-space magnetic monopoles, illustrating the capabilities for higher-dimensional topological Hamiltonian simulation in this platform.</w:t>
      </w:r>
    </w:p>
    <w:p w14:paraId="28E4BAC8" w14:textId="77777777" w:rsidR="002337FB" w:rsidRPr="002337FB" w:rsidRDefault="002337FB" w:rsidP="004B2B37">
      <w:pPr>
        <w:overflowPunct w:val="0"/>
        <w:autoSpaceDE w:val="0"/>
        <w:autoSpaceDN w:val="0"/>
        <w:jc w:val="left"/>
        <w:rPr>
          <w:rFonts w:ascii="Times New Roman" w:hAnsi="Times New Roman"/>
          <w:b/>
          <w:bCs/>
          <w:szCs w:val="21"/>
          <w:u w:val="single"/>
        </w:rPr>
      </w:pPr>
    </w:p>
    <w:p w14:paraId="3DB0CCFC" w14:textId="0B613588" w:rsidR="00110456" w:rsidRDefault="0009048D">
      <w:pPr>
        <w:overflowPunct w:val="0"/>
        <w:autoSpaceDE w:val="0"/>
        <w:autoSpaceDN w:val="0"/>
        <w:spacing w:line="440" w:lineRule="exact"/>
        <w:jc w:val="left"/>
        <w:rPr>
          <w:rFonts w:ascii="Times New Roman" w:hAnsi="Times New Roman"/>
          <w:b/>
          <w:bCs/>
          <w:szCs w:val="21"/>
          <w:u w:val="single"/>
        </w:rPr>
      </w:pPr>
      <w:r>
        <w:rPr>
          <w:noProof/>
        </w:rPr>
        <w:drawing>
          <wp:anchor distT="0" distB="0" distL="114300" distR="114300" simplePos="0" relativeHeight="251660288" behindDoc="0" locked="0" layoutInCell="1" allowOverlap="1" wp14:anchorId="0445AB0A" wp14:editId="1D6E948B">
            <wp:simplePos x="0" y="0"/>
            <wp:positionH relativeFrom="margin">
              <wp:align>left</wp:align>
            </wp:positionH>
            <wp:positionV relativeFrom="paragraph">
              <wp:posOffset>138430</wp:posOffset>
            </wp:positionV>
            <wp:extent cx="791210" cy="829310"/>
            <wp:effectExtent l="0" t="0" r="8890" b="889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stretch>
                      <a:fillRect/>
                    </a:stretch>
                  </pic:blipFill>
                  <pic:spPr>
                    <a:xfrm>
                      <a:off x="0" y="0"/>
                      <a:ext cx="791210" cy="829310"/>
                    </a:xfrm>
                    <a:prstGeom prst="rect">
                      <a:avLst/>
                    </a:prstGeom>
                  </pic:spPr>
                </pic:pic>
              </a:graphicData>
            </a:graphic>
            <wp14:sizeRelH relativeFrom="margin">
              <wp14:pctWidth>0</wp14:pctWidth>
            </wp14:sizeRelH>
            <wp14:sizeRelV relativeFrom="margin">
              <wp14:pctHeight>0</wp14:pctHeight>
            </wp14:sizeRelV>
          </wp:anchor>
        </w:drawing>
      </w:r>
      <w:r w:rsidR="002C04FB">
        <w:rPr>
          <w:rFonts w:ascii="Times New Roman" w:hAnsi="Times New Roman"/>
          <w:b/>
          <w:bCs/>
          <w:szCs w:val="21"/>
          <w:u w:val="single"/>
        </w:rPr>
        <w:t>Short Bio:</w:t>
      </w:r>
    </w:p>
    <w:p w14:paraId="3B535B5E" w14:textId="28B009F5" w:rsidR="00110456" w:rsidRPr="00770CC4" w:rsidRDefault="004B2B37" w:rsidP="00770CC4">
      <w:pPr>
        <w:pStyle w:val="ad"/>
        <w:spacing w:before="0" w:beforeAutospacing="0" w:after="0" w:afterAutospacing="0"/>
        <w:contextualSpacing/>
        <w:rPr>
          <w:rFonts w:ascii="Times New Roman" w:eastAsiaTheme="minorEastAsia" w:hAnsi="Times New Roman" w:cs="Times New Roman"/>
          <w:w w:val="90"/>
          <w:kern w:val="2"/>
          <w:sz w:val="21"/>
          <w:szCs w:val="21"/>
          <w:lang w:eastAsia="zh-CN"/>
        </w:rPr>
      </w:pPr>
      <w:r w:rsidRPr="00770CC4">
        <w:rPr>
          <w:rFonts w:ascii="Times New Roman" w:hAnsi="Times New Roman" w:cs="Times New Roman"/>
          <w:b/>
          <w:bCs/>
          <w:sz w:val="21"/>
          <w:szCs w:val="21"/>
        </w:rPr>
        <w:t>Avik Dutt</w:t>
      </w:r>
      <w:r w:rsidRPr="004B2B37">
        <w:rPr>
          <w:rFonts w:ascii="Times New Roman" w:hAnsi="Times New Roman" w:cs="Times New Roman"/>
          <w:sz w:val="21"/>
          <w:szCs w:val="21"/>
        </w:rPr>
        <w:t xml:space="preserve"> is an Assistant Professor and a National Quantum Lab (</w:t>
      </w:r>
      <w:proofErr w:type="spellStart"/>
      <w:r w:rsidRPr="004B2B37">
        <w:rPr>
          <w:rFonts w:ascii="Times New Roman" w:hAnsi="Times New Roman" w:cs="Times New Roman"/>
          <w:sz w:val="21"/>
          <w:szCs w:val="21"/>
        </w:rPr>
        <w:t>QLab</w:t>
      </w:r>
      <w:proofErr w:type="spellEnd"/>
      <w:r w:rsidRPr="004B2B37">
        <w:rPr>
          <w:rFonts w:ascii="Times New Roman" w:hAnsi="Times New Roman" w:cs="Times New Roman"/>
          <w:sz w:val="21"/>
          <w:szCs w:val="21"/>
        </w:rPr>
        <w:t xml:space="preserve">) Fellow at the University of Maryland, College Park, with a joint appointment between the Department of Mechanical Engineering and the multidisciplinary Institute for Physical Science and Technology (IPST). He obtained the M.S./Ph.D. degrees in Electrical and Computer Engineering from Cornell University in 2017, and a Bachelor’s degree from Indian Institute of Technology, Kharagpur in 2011. His doctoral dissertation about on-chip quantum and nonlinear optics was partially </w:t>
      </w:r>
      <w:r w:rsidRPr="004B2B37">
        <w:rPr>
          <w:rFonts w:ascii="Times New Roman" w:hAnsi="Times New Roman" w:cs="Times New Roman"/>
          <w:sz w:val="21"/>
          <w:szCs w:val="21"/>
        </w:rPr>
        <w:lastRenderedPageBreak/>
        <w:t xml:space="preserve">supported by a Jacobs Fellowship and received the Zurich Instruments thesis award in 2017. Subsequently he acquired postdoctoral training on quantum Hall effects and topology at Stanford. Dutt has a broad background in quantum and nonlinear nanophotonics and topological photonics. </w:t>
      </w:r>
      <w:r w:rsidR="00770CC4" w:rsidRPr="004B2B37">
        <w:rPr>
          <w:rFonts w:ascii="Times New Roman" w:hAnsi="Times New Roman" w:cs="Times New Roman"/>
          <w:sz w:val="21"/>
          <w:szCs w:val="21"/>
        </w:rPr>
        <w:t>He has also proposed theoretical schemes for analog and digital quantum simulation</w:t>
      </w:r>
      <w:r w:rsidR="00770CC4">
        <w:rPr>
          <w:rFonts w:ascii="Times New Roman" w:hAnsi="Times New Roman" w:cs="Times New Roman"/>
          <w:sz w:val="21"/>
          <w:szCs w:val="21"/>
        </w:rPr>
        <w:t xml:space="preserve">. </w:t>
      </w:r>
      <w:r w:rsidRPr="004B2B37">
        <w:rPr>
          <w:rFonts w:ascii="Times New Roman" w:hAnsi="Times New Roman" w:cs="Times New Roman"/>
          <w:sz w:val="21"/>
          <w:szCs w:val="21"/>
        </w:rPr>
        <w:t xml:space="preserve">He was selected as a 2020 Rising Star of Light, and was the editor's pick for Outstanding Reviewer by the journal Light: Science &amp; Applications in July 2020. He has more than </w:t>
      </w:r>
      <w:r w:rsidR="00770CC4">
        <w:rPr>
          <w:rFonts w:ascii="Times New Roman" w:hAnsi="Times New Roman" w:cs="Times New Roman"/>
          <w:sz w:val="21"/>
          <w:szCs w:val="21"/>
        </w:rPr>
        <w:t>100</w:t>
      </w:r>
      <w:r w:rsidRPr="004B2B37">
        <w:rPr>
          <w:rFonts w:ascii="Times New Roman" w:hAnsi="Times New Roman" w:cs="Times New Roman"/>
          <w:sz w:val="21"/>
          <w:szCs w:val="21"/>
        </w:rPr>
        <w:t xml:space="preserve"> journal</w:t>
      </w:r>
      <w:r w:rsidR="00770CC4">
        <w:rPr>
          <w:rFonts w:ascii="Times New Roman" w:hAnsi="Times New Roman" w:cs="Times New Roman"/>
          <w:sz w:val="21"/>
          <w:szCs w:val="21"/>
        </w:rPr>
        <w:t xml:space="preserve"> articles</w:t>
      </w:r>
      <w:r w:rsidRPr="004B2B37">
        <w:rPr>
          <w:rFonts w:ascii="Times New Roman" w:hAnsi="Times New Roman" w:cs="Times New Roman"/>
          <w:sz w:val="21"/>
          <w:szCs w:val="21"/>
        </w:rPr>
        <w:t xml:space="preserve"> and peer-reviewed conference publications</w:t>
      </w:r>
      <w:r w:rsidR="00770CC4">
        <w:rPr>
          <w:rFonts w:ascii="Times New Roman" w:hAnsi="Times New Roman" w:cs="Times New Roman"/>
          <w:sz w:val="21"/>
          <w:szCs w:val="21"/>
        </w:rPr>
        <w:t>, and presented more than 25 invited talks.</w:t>
      </w:r>
      <w:r w:rsidRPr="004B2B37">
        <w:rPr>
          <w:rFonts w:ascii="Times New Roman" w:hAnsi="Times New Roman" w:cs="Times New Roman"/>
          <w:sz w:val="21"/>
          <w:szCs w:val="21"/>
        </w:rPr>
        <w:t xml:space="preserve"> Several of his primary authored papers have been published in reputed journals including Science, Nature Physics, Science Advances and Nature Communications</w:t>
      </w:r>
      <w:r w:rsidR="00770CC4">
        <w:rPr>
          <w:rFonts w:ascii="Times New Roman" w:hAnsi="Times New Roman" w:cs="Times New Roman"/>
          <w:sz w:val="21"/>
          <w:szCs w:val="21"/>
        </w:rPr>
        <w:t>, making him among the top 2% of most yearly cited scientists in optics since 2021.</w:t>
      </w:r>
    </w:p>
    <w:sectPr w:rsidR="00110456" w:rsidRPr="00770CC4" w:rsidSect="00690CC1">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24FE7" w14:textId="77777777" w:rsidR="00690CC1" w:rsidRDefault="00690CC1" w:rsidP="00110456">
      <w:r>
        <w:separator/>
      </w:r>
    </w:p>
  </w:endnote>
  <w:endnote w:type="continuationSeparator" w:id="0">
    <w:p w14:paraId="30E753BB" w14:textId="77777777" w:rsidR="00690CC1" w:rsidRDefault="00690CC1" w:rsidP="0011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dvOTea1a7398">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EA9E" w14:textId="77777777" w:rsidR="00110456" w:rsidRDefault="00110456">
    <w:pPr>
      <w:pStyle w:val="a9"/>
      <w:jc w:val="right"/>
    </w:pPr>
    <w:r>
      <w:fldChar w:fldCharType="begin"/>
    </w:r>
    <w:r w:rsidR="002C04FB">
      <w:instrText>PAGE   \* MERGEFORMAT</w:instrText>
    </w:r>
    <w:r>
      <w:fldChar w:fldCharType="separate"/>
    </w:r>
    <w:r w:rsidR="009A2ED3" w:rsidRPr="009A2ED3">
      <w:rPr>
        <w:noProof/>
        <w:lang w:val="zh-CN"/>
      </w:rPr>
      <w:t>-</w:t>
    </w:r>
    <w:r w:rsidR="009A2ED3">
      <w:rPr>
        <w:noProof/>
      </w:rPr>
      <w:t xml:space="preserve"> 1 -</w:t>
    </w:r>
    <w:r>
      <w:fldChar w:fldCharType="end"/>
    </w:r>
  </w:p>
  <w:p w14:paraId="29DB7EF9" w14:textId="77777777" w:rsidR="00110456" w:rsidRDefault="001104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E00EF" w14:textId="77777777" w:rsidR="00690CC1" w:rsidRDefault="00690CC1" w:rsidP="00110456">
      <w:r>
        <w:separator/>
      </w:r>
    </w:p>
  </w:footnote>
  <w:footnote w:type="continuationSeparator" w:id="0">
    <w:p w14:paraId="7A1F6188" w14:textId="77777777" w:rsidR="00690CC1" w:rsidRDefault="00690CC1" w:rsidP="0011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782E" w14:textId="6A7E6AAC" w:rsidR="00110456" w:rsidRDefault="00067343">
    <w:pPr>
      <w:pStyle w:val="ab"/>
    </w:pPr>
    <w:r>
      <w:rPr>
        <w:noProof/>
      </w:rPr>
      <w:drawing>
        <wp:anchor distT="0" distB="0" distL="114300" distR="114300" simplePos="0" relativeHeight="1024" behindDoc="0" locked="0" layoutInCell="1" allowOverlap="1" wp14:anchorId="601EA603" wp14:editId="1FB7D54B">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3D"/>
    <w:rsid w:val="00021B4C"/>
    <w:rsid w:val="0003479A"/>
    <w:rsid w:val="00060120"/>
    <w:rsid w:val="00067343"/>
    <w:rsid w:val="0009048D"/>
    <w:rsid w:val="00110456"/>
    <w:rsid w:val="00164BCD"/>
    <w:rsid w:val="00170EFC"/>
    <w:rsid w:val="001A22C7"/>
    <w:rsid w:val="002337FB"/>
    <w:rsid w:val="0026535C"/>
    <w:rsid w:val="002B6185"/>
    <w:rsid w:val="002C04FB"/>
    <w:rsid w:val="002E4865"/>
    <w:rsid w:val="003220BE"/>
    <w:rsid w:val="0033595C"/>
    <w:rsid w:val="00393B48"/>
    <w:rsid w:val="003B3975"/>
    <w:rsid w:val="003C7BE6"/>
    <w:rsid w:val="00404D43"/>
    <w:rsid w:val="00466898"/>
    <w:rsid w:val="00473DC4"/>
    <w:rsid w:val="004876EA"/>
    <w:rsid w:val="004879E9"/>
    <w:rsid w:val="004905A6"/>
    <w:rsid w:val="004B2B37"/>
    <w:rsid w:val="004C3BD4"/>
    <w:rsid w:val="004E52B7"/>
    <w:rsid w:val="00511090"/>
    <w:rsid w:val="00565CE0"/>
    <w:rsid w:val="005803CD"/>
    <w:rsid w:val="00584E5E"/>
    <w:rsid w:val="005F37C4"/>
    <w:rsid w:val="00631F6D"/>
    <w:rsid w:val="00676DC6"/>
    <w:rsid w:val="00690CC1"/>
    <w:rsid w:val="00694E36"/>
    <w:rsid w:val="006C1B10"/>
    <w:rsid w:val="00770CC4"/>
    <w:rsid w:val="0077463B"/>
    <w:rsid w:val="00791ED8"/>
    <w:rsid w:val="007B6636"/>
    <w:rsid w:val="00807566"/>
    <w:rsid w:val="008C7FC6"/>
    <w:rsid w:val="00906B0E"/>
    <w:rsid w:val="00930E39"/>
    <w:rsid w:val="0094269C"/>
    <w:rsid w:val="009434C3"/>
    <w:rsid w:val="009548FE"/>
    <w:rsid w:val="009A2ED3"/>
    <w:rsid w:val="009C66E0"/>
    <w:rsid w:val="009C6F3D"/>
    <w:rsid w:val="00A762EC"/>
    <w:rsid w:val="00AA743B"/>
    <w:rsid w:val="00AB76A6"/>
    <w:rsid w:val="00AD170D"/>
    <w:rsid w:val="00B1014E"/>
    <w:rsid w:val="00B45166"/>
    <w:rsid w:val="00B60DF6"/>
    <w:rsid w:val="00B85C02"/>
    <w:rsid w:val="00BD2324"/>
    <w:rsid w:val="00C4134A"/>
    <w:rsid w:val="00CA3C0E"/>
    <w:rsid w:val="00D11B73"/>
    <w:rsid w:val="00D56D82"/>
    <w:rsid w:val="00D91A34"/>
    <w:rsid w:val="00DD0520"/>
    <w:rsid w:val="00DD709A"/>
    <w:rsid w:val="00E002F1"/>
    <w:rsid w:val="00E30339"/>
    <w:rsid w:val="00E66C0D"/>
    <w:rsid w:val="00EC7B58"/>
    <w:rsid w:val="00F3729C"/>
    <w:rsid w:val="00F63910"/>
    <w:rsid w:val="00FA1380"/>
    <w:rsid w:val="00FC16C2"/>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7B0DA05"/>
  <w15:docId w15:val="{5F460ACA-822A-4FEE-8562-2B2A8BAA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45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rsid w:val="00110456"/>
    <w:rPr>
      <w:b/>
      <w:bCs/>
    </w:rPr>
  </w:style>
  <w:style w:type="paragraph" w:styleId="a4">
    <w:name w:val="annotation text"/>
    <w:basedOn w:val="a"/>
    <w:link w:val="a6"/>
    <w:uiPriority w:val="99"/>
    <w:semiHidden/>
    <w:qFormat/>
    <w:rsid w:val="00110456"/>
    <w:pPr>
      <w:jc w:val="left"/>
    </w:pPr>
  </w:style>
  <w:style w:type="paragraph" w:styleId="a7">
    <w:name w:val="Balloon Text"/>
    <w:basedOn w:val="a"/>
    <w:link w:val="a8"/>
    <w:uiPriority w:val="99"/>
    <w:semiHidden/>
    <w:rsid w:val="00110456"/>
    <w:rPr>
      <w:sz w:val="18"/>
      <w:szCs w:val="18"/>
    </w:rPr>
  </w:style>
  <w:style w:type="paragraph" w:styleId="a9">
    <w:name w:val="footer"/>
    <w:basedOn w:val="a"/>
    <w:link w:val="aa"/>
    <w:uiPriority w:val="99"/>
    <w:qFormat/>
    <w:rsid w:val="00110456"/>
    <w:pPr>
      <w:tabs>
        <w:tab w:val="center" w:pos="4153"/>
        <w:tab w:val="right" w:pos="8306"/>
      </w:tabs>
      <w:snapToGrid w:val="0"/>
      <w:jc w:val="left"/>
    </w:pPr>
    <w:rPr>
      <w:sz w:val="18"/>
      <w:szCs w:val="18"/>
    </w:rPr>
  </w:style>
  <w:style w:type="paragraph" w:styleId="ab">
    <w:name w:val="header"/>
    <w:basedOn w:val="a"/>
    <w:link w:val="ac"/>
    <w:uiPriority w:val="99"/>
    <w:qFormat/>
    <w:rsid w:val="00110456"/>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e">
    <w:name w:val="Strong"/>
    <w:basedOn w:val="a0"/>
    <w:uiPriority w:val="99"/>
    <w:qFormat/>
    <w:rsid w:val="00110456"/>
    <w:rPr>
      <w:rFonts w:cs="Times New Roman"/>
      <w:b/>
    </w:rPr>
  </w:style>
  <w:style w:type="character" w:styleId="af">
    <w:name w:val="annotation reference"/>
    <w:basedOn w:val="a0"/>
    <w:uiPriority w:val="99"/>
    <w:semiHidden/>
    <w:rsid w:val="00110456"/>
    <w:rPr>
      <w:rFonts w:cs="Times New Roman"/>
      <w:sz w:val="21"/>
      <w:szCs w:val="21"/>
    </w:rPr>
  </w:style>
  <w:style w:type="character" w:customStyle="1" w:styleId="ac">
    <w:name w:val="页眉 字符"/>
    <w:basedOn w:val="a0"/>
    <w:link w:val="ab"/>
    <w:uiPriority w:val="99"/>
    <w:qFormat/>
    <w:locked/>
    <w:rsid w:val="00110456"/>
    <w:rPr>
      <w:rFonts w:cs="Times New Roman"/>
      <w:sz w:val="18"/>
      <w:szCs w:val="18"/>
    </w:rPr>
  </w:style>
  <w:style w:type="character" w:customStyle="1" w:styleId="aa">
    <w:name w:val="页脚 字符"/>
    <w:basedOn w:val="a0"/>
    <w:link w:val="a9"/>
    <w:uiPriority w:val="99"/>
    <w:qFormat/>
    <w:locked/>
    <w:rsid w:val="00110456"/>
    <w:rPr>
      <w:rFonts w:cs="Times New Roman"/>
      <w:sz w:val="18"/>
      <w:szCs w:val="18"/>
    </w:rPr>
  </w:style>
  <w:style w:type="character" w:customStyle="1" w:styleId="a6">
    <w:name w:val="批注文字 字符"/>
    <w:basedOn w:val="a0"/>
    <w:link w:val="a4"/>
    <w:uiPriority w:val="99"/>
    <w:semiHidden/>
    <w:qFormat/>
    <w:locked/>
    <w:rsid w:val="00110456"/>
    <w:rPr>
      <w:rFonts w:ascii="Calibri" w:hAnsi="Calibri" w:cs="Times New Roman"/>
    </w:rPr>
  </w:style>
  <w:style w:type="character" w:customStyle="1" w:styleId="a5">
    <w:name w:val="批注主题 字符"/>
    <w:basedOn w:val="a6"/>
    <w:link w:val="a3"/>
    <w:uiPriority w:val="99"/>
    <w:semiHidden/>
    <w:qFormat/>
    <w:locked/>
    <w:rsid w:val="00110456"/>
    <w:rPr>
      <w:rFonts w:ascii="Calibri" w:hAnsi="Calibri" w:cs="Times New Roman"/>
      <w:b/>
      <w:bCs/>
    </w:rPr>
  </w:style>
  <w:style w:type="character" w:customStyle="1" w:styleId="a8">
    <w:name w:val="批注框文本 字符"/>
    <w:basedOn w:val="a0"/>
    <w:link w:val="a7"/>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stt joy</cp:lastModifiedBy>
  <cp:revision>9</cp:revision>
  <dcterms:created xsi:type="dcterms:W3CDTF">2019-03-15T01:07:00Z</dcterms:created>
  <dcterms:modified xsi:type="dcterms:W3CDTF">2024-02-04T03:02:00Z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