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B3E8F" w14:textId="21922FAA" w:rsidR="00110456" w:rsidRDefault="002E078D">
      <w:pPr>
        <w:spacing w:line="280" w:lineRule="exact"/>
        <w:contextualSpacing/>
        <w:jc w:val="center"/>
        <w:rPr>
          <w:rFonts w:ascii="Times New Roman" w:eastAsia="AdvOTea1a7398" w:hAnsi="Times New Roman"/>
          <w:b/>
          <w:bCs/>
          <w:kern w:val="0"/>
          <w:sz w:val="24"/>
          <w:szCs w:val="24"/>
        </w:rPr>
      </w:pPr>
      <w:r w:rsidRPr="002E078D">
        <w:rPr>
          <w:rFonts w:ascii="Times New Roman" w:eastAsia="AdvOTea1a7398" w:hAnsi="Times New Roman"/>
          <w:b/>
          <w:bCs/>
          <w:kern w:val="0"/>
          <w:sz w:val="24"/>
          <w:szCs w:val="24"/>
        </w:rPr>
        <w:t>Plasmonic Terahertz Optoelectronics</w:t>
      </w:r>
    </w:p>
    <w:p w14:paraId="7C559BBF" w14:textId="77777777" w:rsidR="00C17FBD" w:rsidRPr="00C17FBD" w:rsidRDefault="00C17FBD">
      <w:pPr>
        <w:spacing w:line="280" w:lineRule="exact"/>
        <w:contextualSpacing/>
        <w:jc w:val="center"/>
        <w:rPr>
          <w:rFonts w:ascii="Times New Roman" w:eastAsia="AdvOTea1a7398" w:hAnsi="Times New Roman"/>
          <w:kern w:val="0"/>
          <w:szCs w:val="21"/>
        </w:rPr>
      </w:pPr>
    </w:p>
    <w:p w14:paraId="25034CC0" w14:textId="376602BE" w:rsidR="00110456" w:rsidRDefault="00C17FBD">
      <w:pPr>
        <w:spacing w:line="280" w:lineRule="exact"/>
        <w:contextualSpacing/>
        <w:jc w:val="center"/>
        <w:rPr>
          <w:rFonts w:ascii="Times New Roman" w:eastAsia="AdvOTea1a7398" w:hAnsi="Times New Roman"/>
          <w:i/>
          <w:kern w:val="0"/>
          <w:szCs w:val="21"/>
        </w:rPr>
      </w:pPr>
      <w:r w:rsidRPr="00C17FBD">
        <w:rPr>
          <w:rFonts w:ascii="Times New Roman" w:eastAsia="AdvOTea1a7398" w:hAnsi="Times New Roman"/>
          <w:i/>
          <w:kern w:val="0"/>
          <w:szCs w:val="21"/>
        </w:rPr>
        <w:t>University of California, Los Angeles, USA</w:t>
      </w:r>
    </w:p>
    <w:p w14:paraId="66DA585F" w14:textId="77777777" w:rsidR="00C17FBD" w:rsidRDefault="00C17FBD">
      <w:pPr>
        <w:spacing w:line="280" w:lineRule="exact"/>
        <w:contextualSpacing/>
        <w:jc w:val="center"/>
        <w:rPr>
          <w:rFonts w:ascii="Times New Roman" w:eastAsia="AdvOTea1a7398" w:hAnsi="Times New Roman"/>
          <w:kern w:val="0"/>
          <w:szCs w:val="21"/>
        </w:rPr>
      </w:pPr>
    </w:p>
    <w:p w14:paraId="0AA42EA1" w14:textId="47ED9A94" w:rsidR="00110456" w:rsidRDefault="002E078D">
      <w:pPr>
        <w:spacing w:line="280" w:lineRule="exact"/>
        <w:contextualSpacing/>
        <w:jc w:val="center"/>
        <w:rPr>
          <w:rFonts w:ascii="Times New Roman" w:eastAsia="AdvOTea1a7398" w:hAnsi="Times New Roman"/>
          <w:b/>
          <w:kern w:val="0"/>
          <w:szCs w:val="21"/>
        </w:rPr>
      </w:pPr>
      <w:r>
        <w:rPr>
          <w:rFonts w:ascii="Times New Roman" w:eastAsia="AdvOTea1a7398" w:hAnsi="Times New Roman"/>
          <w:b/>
          <w:kern w:val="0"/>
          <w:szCs w:val="21"/>
        </w:rPr>
        <w:t xml:space="preserve">Mona </w:t>
      </w:r>
      <w:proofErr w:type="spellStart"/>
      <w:r>
        <w:rPr>
          <w:rFonts w:ascii="Times New Roman" w:eastAsia="AdvOTea1a7398" w:hAnsi="Times New Roman"/>
          <w:b/>
          <w:kern w:val="0"/>
          <w:szCs w:val="21"/>
        </w:rPr>
        <w:t>Jarrahi</w:t>
      </w:r>
      <w:proofErr w:type="spellEnd"/>
    </w:p>
    <w:p w14:paraId="579D97E6" w14:textId="2FEB34B0" w:rsidR="00E002F1" w:rsidRDefault="00E002F1">
      <w:pPr>
        <w:spacing w:line="280" w:lineRule="exact"/>
        <w:contextualSpacing/>
        <w:jc w:val="center"/>
        <w:rPr>
          <w:rFonts w:ascii="Times New Roman" w:eastAsia="AdvOTea1a7398" w:hAnsi="Times New Roman"/>
          <w:b/>
          <w:kern w:val="0"/>
          <w:szCs w:val="21"/>
        </w:rPr>
      </w:pPr>
      <w:r>
        <w:rPr>
          <w:rFonts w:ascii="Times New Roman" w:eastAsia="AdvOTea1a7398" w:hAnsi="Times New Roman" w:hint="eastAsia"/>
          <w:b/>
          <w:kern w:val="0"/>
          <w:szCs w:val="21"/>
        </w:rPr>
        <w:t>Email:</w:t>
      </w:r>
      <w:r>
        <w:rPr>
          <w:rFonts w:ascii="Times New Roman" w:eastAsia="AdvOTea1a7398" w:hAnsi="Times New Roman"/>
          <w:b/>
          <w:kern w:val="0"/>
          <w:szCs w:val="21"/>
        </w:rPr>
        <w:t xml:space="preserve"> </w:t>
      </w:r>
      <w:r w:rsidR="002E078D">
        <w:rPr>
          <w:rFonts w:ascii="Times New Roman" w:eastAsia="AdvOTea1a7398" w:hAnsi="Times New Roman"/>
          <w:b/>
          <w:kern w:val="0"/>
          <w:szCs w:val="21"/>
        </w:rPr>
        <w:t>mjarrahi@ucla.edu</w:t>
      </w:r>
    </w:p>
    <w:p w14:paraId="53D94259" w14:textId="77777777" w:rsidR="00110456" w:rsidRDefault="00110456">
      <w:pPr>
        <w:spacing w:line="280" w:lineRule="exact"/>
        <w:contextualSpacing/>
        <w:jc w:val="center"/>
        <w:rPr>
          <w:rFonts w:ascii="Times New Roman" w:eastAsia="AdvOTea1a7398" w:hAnsi="Times New Roman"/>
          <w:kern w:val="0"/>
          <w:szCs w:val="21"/>
        </w:rPr>
      </w:pPr>
    </w:p>
    <w:p w14:paraId="50112B23" w14:textId="37F01E1D" w:rsidR="00110456" w:rsidRDefault="002E078D" w:rsidP="000625C3">
      <w:pPr>
        <w:overflowPunct w:val="0"/>
        <w:autoSpaceDE w:val="0"/>
        <w:autoSpaceDN w:val="0"/>
        <w:rPr>
          <w:rFonts w:ascii="Times New Roman" w:hAnsi="Times New Roman"/>
          <w:b/>
          <w:bCs/>
          <w:szCs w:val="21"/>
          <w:u w:val="single"/>
        </w:rPr>
      </w:pPr>
      <w:r w:rsidRPr="002E078D">
        <w:rPr>
          <w:rFonts w:ascii="Times New Roman" w:eastAsia="AdvOTea1a7398" w:hAnsi="Times New Roman"/>
          <w:kern w:val="0"/>
          <w:szCs w:val="21"/>
        </w:rPr>
        <w:t xml:space="preserve">Although unique potentials of terahertz waves for chemical identification, material characterization, biological sensing, and medical imaging have been recognized for quite a while, the relatively poor performance, higher costs, and bulky nature of current terahertz systems continue to impede their deployment in field settings. In this talk, I will describe some of our recent results on developing new terahertz electronic/optoelectronic components and imaging/spectrometry architectures to mitigate performance limitations of existing terahertz systems. In specific, I will introduce new designs of high-performance photoconductive terahertz sources that utilize plasmonic </w:t>
      </w:r>
      <w:proofErr w:type="spellStart"/>
      <w:r w:rsidRPr="002E078D">
        <w:rPr>
          <w:rFonts w:ascii="Times New Roman" w:eastAsia="AdvOTea1a7398" w:hAnsi="Times New Roman"/>
          <w:kern w:val="0"/>
          <w:szCs w:val="21"/>
        </w:rPr>
        <w:t>nanoantennas</w:t>
      </w:r>
      <w:proofErr w:type="spellEnd"/>
      <w:r w:rsidRPr="002E078D">
        <w:rPr>
          <w:rFonts w:ascii="Times New Roman" w:eastAsia="AdvOTea1a7398" w:hAnsi="Times New Roman"/>
          <w:kern w:val="0"/>
          <w:szCs w:val="21"/>
        </w:rPr>
        <w:t xml:space="preserve"> to offer record-high optical-to-terahertz conversion efficiencies – demonstrating more than three orders of magnitude increase compared to the state of the art. I will describe that the unique capabilities of these plasmonic </w:t>
      </w:r>
      <w:proofErr w:type="spellStart"/>
      <w:r w:rsidRPr="002E078D">
        <w:rPr>
          <w:rFonts w:ascii="Times New Roman" w:eastAsia="AdvOTea1a7398" w:hAnsi="Times New Roman"/>
          <w:kern w:val="0"/>
          <w:szCs w:val="21"/>
        </w:rPr>
        <w:t>nanoantennas</w:t>
      </w:r>
      <w:proofErr w:type="spellEnd"/>
      <w:r w:rsidRPr="002E078D">
        <w:rPr>
          <w:rFonts w:ascii="Times New Roman" w:eastAsia="AdvOTea1a7398" w:hAnsi="Times New Roman"/>
          <w:kern w:val="0"/>
          <w:szCs w:val="21"/>
        </w:rPr>
        <w:t xml:space="preserve"> can be further extended to develop terahertz detectors and heterodyne spectrometers with quantum-level detection sensitivities over a broad terahertz bandwidth at room temperatures, which has not been possible through existing technologies. I will also present a terahertz time-domain imaging system based on a plasmonic photoconductive terahertz focal-plane array, which provides ultrafast-time-resolved and frequency-resolved amplitude and phase information of the imaged object with an imaging speed that exceeds 16 fps. The rich information provided by the terahertz focal-plane array allows super-resolving both shape and depth information of imaged objects with a lateral/depth resolution as small as 60/10 </w:t>
      </w:r>
      <w:r>
        <w:rPr>
          <w:rFonts w:ascii="symw Roman" w:eastAsia="AdvOTea1a7398" w:hAnsi="symw Roman"/>
          <w:kern w:val="0"/>
          <w:szCs w:val="21"/>
        </w:rPr>
        <w:t>u</w:t>
      </w:r>
      <w:r w:rsidRPr="002E078D">
        <w:rPr>
          <w:rFonts w:ascii="Times New Roman" w:eastAsia="AdvOTea1a7398" w:hAnsi="Times New Roman"/>
          <w:kern w:val="0"/>
          <w:szCs w:val="21"/>
        </w:rPr>
        <w:t>m and an effective number of pixels exceeding 1-kilo-pixels. These plasmonic antennas and device architectures are optimized for operation at telecommunication wavelengths, where very high power, narrow linewidth, wavelength tunable, compact and cost-effective optical sources are commercially available. Therefore, our results pave the way to compact and low-cost terahertz sources, detectors, spectrometers, and imaging systems that could offer numerous opportunities for e.g., medical imaging and diagnostics, atmospheric sensing, pharmaceutical quality control, and security screening systems.</w:t>
      </w:r>
    </w:p>
    <w:p w14:paraId="4457B8C0" w14:textId="77777777" w:rsidR="007420EB" w:rsidRDefault="007420EB">
      <w:pPr>
        <w:overflowPunct w:val="0"/>
        <w:autoSpaceDE w:val="0"/>
        <w:autoSpaceDN w:val="0"/>
        <w:spacing w:line="440" w:lineRule="exact"/>
        <w:jc w:val="left"/>
        <w:rPr>
          <w:noProof/>
          <w:lang w:eastAsia="en-US"/>
        </w:rPr>
      </w:pPr>
    </w:p>
    <w:p w14:paraId="3DB0CCFC" w14:textId="714D7A3F" w:rsidR="00110456" w:rsidRDefault="002C04FB">
      <w:pPr>
        <w:overflowPunct w:val="0"/>
        <w:autoSpaceDE w:val="0"/>
        <w:autoSpaceDN w:val="0"/>
        <w:spacing w:line="440" w:lineRule="exact"/>
        <w:jc w:val="left"/>
        <w:rPr>
          <w:rFonts w:ascii="Times New Roman" w:hAnsi="Times New Roman"/>
          <w:b/>
          <w:bCs/>
          <w:szCs w:val="21"/>
          <w:u w:val="single"/>
        </w:rPr>
      </w:pPr>
      <w:r>
        <w:rPr>
          <w:rFonts w:ascii="Times New Roman" w:hAnsi="Times New Roman"/>
          <w:b/>
          <w:bCs/>
          <w:szCs w:val="21"/>
          <w:u w:val="single"/>
        </w:rPr>
        <w:t>Short Bio:</w:t>
      </w:r>
    </w:p>
    <w:p w14:paraId="28B4CE19" w14:textId="218B39AA" w:rsidR="00110456" w:rsidRPr="007420EB" w:rsidRDefault="004D652E" w:rsidP="007420EB">
      <w:pPr>
        <w:pStyle w:val="ad"/>
        <w:spacing w:before="0" w:beforeAutospacing="0" w:after="0" w:afterAutospacing="0"/>
        <w:contextualSpacing/>
        <w:jc w:val="both"/>
        <w:rPr>
          <w:rFonts w:ascii="Times New Roman" w:eastAsiaTheme="minorEastAsia" w:hAnsi="Times New Roman" w:cs="Times New Roman"/>
          <w:w w:val="90"/>
          <w:kern w:val="2"/>
          <w:sz w:val="21"/>
          <w:szCs w:val="21"/>
          <w:lang w:eastAsia="zh-CN"/>
        </w:rPr>
      </w:pPr>
      <w:r>
        <w:rPr>
          <w:noProof/>
        </w:rPr>
        <w:drawing>
          <wp:anchor distT="0" distB="0" distL="114300" distR="114300" simplePos="0" relativeHeight="251658240" behindDoc="0" locked="0" layoutInCell="1" allowOverlap="1" wp14:anchorId="5A0BC134" wp14:editId="13FB0DB4">
            <wp:simplePos x="0" y="0"/>
            <wp:positionH relativeFrom="column">
              <wp:posOffset>-1270</wp:posOffset>
            </wp:positionH>
            <wp:positionV relativeFrom="paragraph">
              <wp:posOffset>85090</wp:posOffset>
            </wp:positionV>
            <wp:extent cx="1333500" cy="1584960"/>
            <wp:effectExtent l="0" t="0" r="0" b="0"/>
            <wp:wrapThrough wrapText="bothSides">
              <wp:wrapPolygon edited="0">
                <wp:start x="0" y="0"/>
                <wp:lineTo x="0" y="21288"/>
                <wp:lineTo x="21291" y="21288"/>
                <wp:lineTo x="21291" y="0"/>
                <wp:lineTo x="0" y="0"/>
              </wp:wrapPolygon>
            </wp:wrapThrough>
            <wp:docPr id="28778047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0" cy="1584960"/>
                    </a:xfrm>
                    <a:prstGeom prst="rect">
                      <a:avLst/>
                    </a:prstGeom>
                    <a:noFill/>
                    <a:ln>
                      <a:noFill/>
                    </a:ln>
                  </pic:spPr>
                </pic:pic>
              </a:graphicData>
            </a:graphic>
          </wp:anchor>
        </w:drawing>
      </w:r>
      <w:r w:rsidR="007420EB" w:rsidRPr="007420EB">
        <w:rPr>
          <w:rFonts w:ascii="Times New Roman" w:eastAsia="宋体" w:hAnsi="Times New Roman" w:cs="Times New Roman"/>
          <w:w w:val="90"/>
          <w:kern w:val="2"/>
          <w:sz w:val="21"/>
          <w:szCs w:val="21"/>
          <w:lang w:eastAsia="zh-CN"/>
        </w:rPr>
        <w:t xml:space="preserve">Mona </w:t>
      </w:r>
      <w:proofErr w:type="spellStart"/>
      <w:r w:rsidR="007420EB" w:rsidRPr="007420EB">
        <w:rPr>
          <w:rFonts w:ascii="Times New Roman" w:eastAsia="宋体" w:hAnsi="Times New Roman" w:cs="Times New Roman"/>
          <w:w w:val="90"/>
          <w:kern w:val="2"/>
          <w:sz w:val="21"/>
          <w:szCs w:val="21"/>
          <w:lang w:eastAsia="zh-CN"/>
        </w:rPr>
        <w:t>Jarrahi</w:t>
      </w:r>
      <w:proofErr w:type="spellEnd"/>
      <w:r w:rsidR="007420EB" w:rsidRPr="007420EB">
        <w:rPr>
          <w:rFonts w:ascii="Times New Roman" w:eastAsia="宋体" w:hAnsi="Times New Roman" w:cs="Times New Roman"/>
          <w:w w:val="90"/>
          <w:kern w:val="2"/>
          <w:sz w:val="21"/>
          <w:szCs w:val="21"/>
          <w:lang w:eastAsia="zh-CN"/>
        </w:rPr>
        <w:t xml:space="preserve"> received her Ph</w:t>
      </w:r>
      <w:r w:rsidR="007420EB">
        <w:rPr>
          <w:rFonts w:ascii="Times New Roman" w:eastAsia="宋体" w:hAnsi="Times New Roman" w:cs="Times New Roman"/>
          <w:w w:val="90"/>
          <w:kern w:val="2"/>
          <w:sz w:val="21"/>
          <w:szCs w:val="21"/>
          <w:lang w:eastAsia="zh-CN"/>
        </w:rPr>
        <w:t>.D. degree</w:t>
      </w:r>
      <w:r w:rsidR="007420EB" w:rsidRPr="007420EB">
        <w:rPr>
          <w:rFonts w:ascii="Times New Roman" w:eastAsia="宋体" w:hAnsi="Times New Roman" w:cs="Times New Roman"/>
          <w:w w:val="90"/>
          <w:kern w:val="2"/>
          <w:sz w:val="21"/>
          <w:szCs w:val="21"/>
          <w:lang w:eastAsia="zh-CN"/>
        </w:rPr>
        <w:t xml:space="preserve"> in Electrical Engineering from Stanford University in 2007. She is currently a Professor and Northrop Grumman Endowed Chair in Electrical and Computer Engineering</w:t>
      </w:r>
      <w:r w:rsidR="007420EB">
        <w:rPr>
          <w:rFonts w:ascii="Times New Roman" w:eastAsia="宋体" w:hAnsi="Times New Roman" w:cs="Times New Roman"/>
          <w:w w:val="90"/>
          <w:kern w:val="2"/>
          <w:sz w:val="21"/>
          <w:szCs w:val="21"/>
          <w:lang w:eastAsia="zh-CN"/>
        </w:rPr>
        <w:t xml:space="preserve"> Department at UCLA</w:t>
      </w:r>
      <w:r w:rsidR="007420EB" w:rsidRPr="007420EB">
        <w:rPr>
          <w:rFonts w:ascii="Times New Roman" w:eastAsia="宋体" w:hAnsi="Times New Roman" w:cs="Times New Roman"/>
          <w:w w:val="90"/>
          <w:kern w:val="2"/>
          <w:sz w:val="21"/>
          <w:szCs w:val="21"/>
          <w:lang w:eastAsia="zh-CN"/>
        </w:rPr>
        <w:t xml:space="preserve"> and the Director of the Terahertz Electronics Laboratory.</w:t>
      </w:r>
      <w:r w:rsidR="007420EB">
        <w:rPr>
          <w:rFonts w:ascii="Times New Roman" w:eastAsia="宋体" w:hAnsi="Times New Roman" w:cs="Times New Roman"/>
          <w:w w:val="90"/>
          <w:kern w:val="2"/>
          <w:sz w:val="21"/>
          <w:szCs w:val="21"/>
          <w:lang w:eastAsia="zh-CN"/>
        </w:rPr>
        <w:t xml:space="preserve"> </w:t>
      </w:r>
      <w:r w:rsidR="007420EB" w:rsidRPr="007420EB">
        <w:rPr>
          <w:rFonts w:ascii="Times New Roman" w:eastAsia="宋体" w:hAnsi="Times New Roman" w:cs="Times New Roman"/>
          <w:w w:val="90"/>
          <w:kern w:val="2"/>
          <w:sz w:val="21"/>
          <w:szCs w:val="21"/>
          <w:lang w:eastAsia="zh-CN"/>
        </w:rPr>
        <w:t xml:space="preserve">Prof. </w:t>
      </w:r>
      <w:proofErr w:type="spellStart"/>
      <w:r w:rsidR="007420EB" w:rsidRPr="007420EB">
        <w:rPr>
          <w:rFonts w:ascii="Times New Roman" w:eastAsia="宋体" w:hAnsi="Times New Roman" w:cs="Times New Roman"/>
          <w:w w:val="90"/>
          <w:kern w:val="2"/>
          <w:sz w:val="21"/>
          <w:szCs w:val="21"/>
          <w:lang w:eastAsia="zh-CN"/>
        </w:rPr>
        <w:t>Jarrahi</w:t>
      </w:r>
      <w:proofErr w:type="spellEnd"/>
      <w:r w:rsidR="007420EB" w:rsidRPr="007420EB">
        <w:rPr>
          <w:rFonts w:ascii="Times New Roman" w:eastAsia="宋体" w:hAnsi="Times New Roman" w:cs="Times New Roman"/>
          <w:w w:val="90"/>
          <w:kern w:val="2"/>
          <w:sz w:val="21"/>
          <w:szCs w:val="21"/>
          <w:lang w:eastAsia="zh-CN"/>
        </w:rPr>
        <w:t xml:space="preserve"> has made significant contributions to the development of ultrafast electronic and optoelectronic devices and integrated </w:t>
      </w:r>
      <w:r w:rsidR="007420EB">
        <w:rPr>
          <w:rFonts w:ascii="Times New Roman" w:eastAsia="宋体" w:hAnsi="Times New Roman" w:cs="Times New Roman"/>
          <w:w w:val="90"/>
          <w:kern w:val="2"/>
          <w:sz w:val="21"/>
          <w:szCs w:val="21"/>
          <w:lang w:eastAsia="zh-CN"/>
        </w:rPr>
        <w:t>systems for terahertz</w:t>
      </w:r>
      <w:r w:rsidR="007420EB" w:rsidRPr="007420EB">
        <w:rPr>
          <w:rFonts w:ascii="Times New Roman" w:eastAsia="宋体" w:hAnsi="Times New Roman" w:cs="Times New Roman"/>
          <w:w w:val="90"/>
          <w:kern w:val="2"/>
          <w:sz w:val="21"/>
          <w:szCs w:val="21"/>
          <w:lang w:eastAsia="zh-CN"/>
        </w:rPr>
        <w:t xml:space="preserve"> and millimeter-wave sensing, imaging, computing, and communication systems by utilizing novel materials, nanostructures, and quantum structures as well as innovative plasmonic and optical concepts. The outcomes of her research have appeared in more than 300 publications and 270 invited talks and </w:t>
      </w:r>
      <w:r w:rsidR="007420EB">
        <w:rPr>
          <w:rFonts w:ascii="Times New Roman" w:eastAsia="宋体" w:hAnsi="Times New Roman" w:cs="Times New Roman"/>
          <w:w w:val="90"/>
          <w:kern w:val="2"/>
          <w:sz w:val="21"/>
          <w:szCs w:val="21"/>
          <w:lang w:eastAsia="zh-CN"/>
        </w:rPr>
        <w:t>h</w:t>
      </w:r>
      <w:r w:rsidR="007420EB" w:rsidRPr="007420EB">
        <w:rPr>
          <w:rFonts w:ascii="Times New Roman" w:eastAsia="宋体" w:hAnsi="Times New Roman" w:cs="Times New Roman"/>
          <w:w w:val="90"/>
          <w:kern w:val="2"/>
          <w:sz w:val="21"/>
          <w:szCs w:val="21"/>
          <w:lang w:eastAsia="zh-CN"/>
        </w:rPr>
        <w:t xml:space="preserve">er scientific achievements have been recognized by several prestigious awards including the Presidential Early Career Award for Scientists and Engineers; Friedrich Wilhelm Bessel Research Award from Alexander von Humboldt Foundation; Moore Inventor Fellowship from the Gordon and Betty Moore Foundation; A F Harvey Engineering Research Prize from the Institution of Engineering and Technology (IET); Kavli Fellowship by the USA National Academy of Sciences, Grainger Foundation Frontiers of Engineering Award from the USA National Academy of Engineering; </w:t>
      </w:r>
      <w:r w:rsidR="007420EB">
        <w:rPr>
          <w:rFonts w:ascii="Times New Roman" w:eastAsia="宋体" w:hAnsi="Times New Roman" w:cs="Times New Roman"/>
          <w:w w:val="90"/>
          <w:kern w:val="2"/>
          <w:sz w:val="21"/>
          <w:szCs w:val="21"/>
          <w:lang w:eastAsia="zh-CN"/>
        </w:rPr>
        <w:t xml:space="preserve">and </w:t>
      </w:r>
      <w:r w:rsidR="007420EB" w:rsidRPr="007420EB">
        <w:rPr>
          <w:rFonts w:ascii="Times New Roman" w:eastAsia="宋体" w:hAnsi="Times New Roman" w:cs="Times New Roman"/>
          <w:w w:val="90"/>
          <w:kern w:val="2"/>
          <w:sz w:val="21"/>
          <w:szCs w:val="21"/>
          <w:lang w:eastAsia="zh-CN"/>
        </w:rPr>
        <w:t>Breakthrough Award f</w:t>
      </w:r>
      <w:r w:rsidR="007420EB">
        <w:rPr>
          <w:rFonts w:ascii="Times New Roman" w:eastAsia="宋体" w:hAnsi="Times New Roman" w:cs="Times New Roman"/>
          <w:w w:val="90"/>
          <w:kern w:val="2"/>
          <w:sz w:val="21"/>
          <w:szCs w:val="21"/>
          <w:lang w:eastAsia="zh-CN"/>
        </w:rPr>
        <w:t xml:space="preserve">rom Popular Mechanics Magazine. </w:t>
      </w:r>
      <w:r w:rsidR="007420EB" w:rsidRPr="007420EB">
        <w:rPr>
          <w:rFonts w:ascii="Times New Roman" w:eastAsia="宋体" w:hAnsi="Times New Roman" w:cs="Times New Roman"/>
          <w:w w:val="90"/>
          <w:kern w:val="2"/>
          <w:sz w:val="21"/>
          <w:szCs w:val="21"/>
          <w:lang w:eastAsia="zh-CN"/>
        </w:rPr>
        <w:t xml:space="preserve">Prof. </w:t>
      </w:r>
      <w:proofErr w:type="spellStart"/>
      <w:r w:rsidR="007420EB" w:rsidRPr="007420EB">
        <w:rPr>
          <w:rFonts w:ascii="Times New Roman" w:eastAsia="宋体" w:hAnsi="Times New Roman" w:cs="Times New Roman"/>
          <w:w w:val="90"/>
          <w:kern w:val="2"/>
          <w:sz w:val="21"/>
          <w:szCs w:val="21"/>
          <w:lang w:eastAsia="zh-CN"/>
        </w:rPr>
        <w:t>Jarrahi</w:t>
      </w:r>
      <w:proofErr w:type="spellEnd"/>
      <w:r w:rsidR="007420EB" w:rsidRPr="007420EB">
        <w:rPr>
          <w:rFonts w:ascii="Times New Roman" w:eastAsia="宋体" w:hAnsi="Times New Roman" w:cs="Times New Roman"/>
          <w:w w:val="90"/>
          <w:kern w:val="2"/>
          <w:sz w:val="21"/>
          <w:szCs w:val="21"/>
          <w:lang w:eastAsia="zh-CN"/>
        </w:rPr>
        <w:t xml:space="preserve"> is a Fellow of the Institute of Electrical and Electronics Engineers (IEEE), Optical Society (OPTICA), International Society for Optics and Photonics (SPIE), American Physical </w:t>
      </w:r>
      <w:proofErr w:type="spellStart"/>
      <w:r w:rsidR="007420EB" w:rsidRPr="007420EB">
        <w:rPr>
          <w:rFonts w:ascii="Times New Roman" w:eastAsia="宋体" w:hAnsi="Times New Roman" w:cs="Times New Roman"/>
          <w:w w:val="90"/>
          <w:kern w:val="2"/>
          <w:sz w:val="21"/>
          <w:szCs w:val="21"/>
          <w:lang w:eastAsia="zh-CN"/>
        </w:rPr>
        <w:t>Sosiety</w:t>
      </w:r>
      <w:proofErr w:type="spellEnd"/>
      <w:r w:rsidR="007420EB" w:rsidRPr="007420EB">
        <w:rPr>
          <w:rFonts w:ascii="Times New Roman" w:eastAsia="宋体" w:hAnsi="Times New Roman" w:cs="Times New Roman"/>
          <w:w w:val="90"/>
          <w:kern w:val="2"/>
          <w:sz w:val="21"/>
          <w:szCs w:val="21"/>
          <w:lang w:eastAsia="zh-CN"/>
        </w:rPr>
        <w:t xml:space="preserve"> (APS), </w:t>
      </w:r>
      <w:r w:rsidR="007420EB">
        <w:rPr>
          <w:rFonts w:ascii="Times New Roman" w:eastAsia="宋体" w:hAnsi="Times New Roman" w:cs="Times New Roman"/>
          <w:w w:val="90"/>
          <w:kern w:val="2"/>
          <w:sz w:val="21"/>
          <w:szCs w:val="21"/>
          <w:lang w:eastAsia="zh-CN"/>
        </w:rPr>
        <w:t>and Institute of Physics (</w:t>
      </w:r>
      <w:proofErr w:type="spellStart"/>
      <w:r w:rsidR="007420EB">
        <w:rPr>
          <w:rFonts w:ascii="Times New Roman" w:eastAsia="宋体" w:hAnsi="Times New Roman" w:cs="Times New Roman"/>
          <w:w w:val="90"/>
          <w:kern w:val="2"/>
          <w:sz w:val="21"/>
          <w:szCs w:val="21"/>
          <w:lang w:eastAsia="zh-CN"/>
        </w:rPr>
        <w:t>IoP</w:t>
      </w:r>
      <w:proofErr w:type="spellEnd"/>
      <w:r w:rsidR="007420EB">
        <w:rPr>
          <w:rFonts w:ascii="Times New Roman" w:eastAsia="宋体" w:hAnsi="Times New Roman" w:cs="Times New Roman"/>
          <w:w w:val="90"/>
          <w:kern w:val="2"/>
          <w:sz w:val="21"/>
          <w:szCs w:val="21"/>
          <w:lang w:eastAsia="zh-CN"/>
        </w:rPr>
        <w:t>)</w:t>
      </w:r>
      <w:r w:rsidR="007420EB" w:rsidRPr="007420EB">
        <w:rPr>
          <w:rFonts w:ascii="Times New Roman" w:eastAsia="宋体" w:hAnsi="Times New Roman" w:cs="Times New Roman"/>
          <w:w w:val="90"/>
          <w:kern w:val="2"/>
          <w:sz w:val="21"/>
          <w:szCs w:val="21"/>
          <w:lang w:eastAsia="zh-CN"/>
        </w:rPr>
        <w:t>.</w:t>
      </w:r>
    </w:p>
    <w:p w14:paraId="3B535B5E" w14:textId="277C8D05" w:rsidR="00110456" w:rsidRPr="00393B48" w:rsidRDefault="00110456" w:rsidP="007420EB">
      <w:pPr>
        <w:outlineLvl w:val="0"/>
        <w:rPr>
          <w:rFonts w:ascii="Times New Roman" w:hAnsi="Times New Roman"/>
          <w:szCs w:val="21"/>
        </w:rPr>
      </w:pPr>
    </w:p>
    <w:sectPr w:rsidR="00110456" w:rsidRPr="00393B48" w:rsidSect="00331D5C">
      <w:headerReference w:type="default" r:id="rId8"/>
      <w:footerReference w:type="default" r:id="rId9"/>
      <w:pgSz w:w="9072" w:h="13892"/>
      <w:pgMar w:top="1018" w:right="851" w:bottom="1418" w:left="141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71A36" w14:textId="77777777" w:rsidR="00331D5C" w:rsidRDefault="00331D5C" w:rsidP="00110456">
      <w:r>
        <w:separator/>
      </w:r>
    </w:p>
  </w:endnote>
  <w:endnote w:type="continuationSeparator" w:id="0">
    <w:p w14:paraId="42FD27CB" w14:textId="77777777" w:rsidR="00331D5C" w:rsidRDefault="00331D5C" w:rsidP="00110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dvOTea1a7398">
    <w:altName w:val="宋体"/>
    <w:charset w:val="86"/>
    <w:family w:val="auto"/>
    <w:pitch w:val="default"/>
    <w:sig w:usb0="00000000" w:usb1="00000000" w:usb2="00000010" w:usb3="00000000" w:csb0="00040000" w:csb1="00000000"/>
  </w:font>
  <w:font w:name="symw 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EEA9E" w14:textId="4E6D35A1" w:rsidR="00110456" w:rsidRDefault="00110456">
    <w:pPr>
      <w:pStyle w:val="a9"/>
      <w:jc w:val="right"/>
    </w:pPr>
    <w:r>
      <w:fldChar w:fldCharType="begin"/>
    </w:r>
    <w:r w:rsidR="002C04FB">
      <w:instrText>PAGE   \* MERGEFORMAT</w:instrText>
    </w:r>
    <w:r>
      <w:fldChar w:fldCharType="separate"/>
    </w:r>
    <w:r w:rsidR="007420EB" w:rsidRPr="007420EB">
      <w:rPr>
        <w:noProof/>
        <w:lang w:val="zh-CN"/>
      </w:rPr>
      <w:t>-</w:t>
    </w:r>
    <w:r w:rsidR="007420EB">
      <w:rPr>
        <w:noProof/>
      </w:rPr>
      <w:t xml:space="preserve"> 2 -</w:t>
    </w:r>
    <w:r>
      <w:fldChar w:fldCharType="end"/>
    </w:r>
  </w:p>
  <w:p w14:paraId="29DB7EF9" w14:textId="77777777" w:rsidR="00110456" w:rsidRDefault="0011045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29F32" w14:textId="77777777" w:rsidR="00331D5C" w:rsidRDefault="00331D5C" w:rsidP="00110456">
      <w:r>
        <w:separator/>
      </w:r>
    </w:p>
  </w:footnote>
  <w:footnote w:type="continuationSeparator" w:id="0">
    <w:p w14:paraId="2FC39008" w14:textId="77777777" w:rsidR="00331D5C" w:rsidRDefault="00331D5C" w:rsidP="001104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3782E" w14:textId="6A7E6AAC" w:rsidR="00110456" w:rsidRDefault="00067343">
    <w:pPr>
      <w:pStyle w:val="ab"/>
    </w:pPr>
    <w:r>
      <w:rPr>
        <w:noProof/>
        <w:lang w:eastAsia="en-US"/>
      </w:rPr>
      <w:drawing>
        <wp:anchor distT="0" distB="0" distL="114300" distR="114300" simplePos="0" relativeHeight="1024" behindDoc="0" locked="0" layoutInCell="1" allowOverlap="1" wp14:anchorId="601EA603" wp14:editId="1FB7D54B">
          <wp:simplePos x="0" y="0"/>
          <wp:positionH relativeFrom="margin">
            <wp:posOffset>3490595</wp:posOffset>
          </wp:positionH>
          <wp:positionV relativeFrom="paragraph">
            <wp:posOffset>-216535</wp:posOffset>
          </wp:positionV>
          <wp:extent cx="809625" cy="349250"/>
          <wp:effectExtent l="0" t="0" r="9525" b="0"/>
          <wp:wrapNone/>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34925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F3D"/>
    <w:rsid w:val="00021B4C"/>
    <w:rsid w:val="0003479A"/>
    <w:rsid w:val="00060120"/>
    <w:rsid w:val="000625C3"/>
    <w:rsid w:val="00067343"/>
    <w:rsid w:val="0009048D"/>
    <w:rsid w:val="00110456"/>
    <w:rsid w:val="001A22C7"/>
    <w:rsid w:val="0026535C"/>
    <w:rsid w:val="002B6185"/>
    <w:rsid w:val="002C04FB"/>
    <w:rsid w:val="002E078D"/>
    <w:rsid w:val="002E4865"/>
    <w:rsid w:val="003220BE"/>
    <w:rsid w:val="00331D5C"/>
    <w:rsid w:val="0033595C"/>
    <w:rsid w:val="00393B48"/>
    <w:rsid w:val="003B3975"/>
    <w:rsid w:val="003C7BE6"/>
    <w:rsid w:val="00404D43"/>
    <w:rsid w:val="00466898"/>
    <w:rsid w:val="00473DC4"/>
    <w:rsid w:val="004876EA"/>
    <w:rsid w:val="004879E9"/>
    <w:rsid w:val="004905A6"/>
    <w:rsid w:val="004D652E"/>
    <w:rsid w:val="004E52B7"/>
    <w:rsid w:val="00511090"/>
    <w:rsid w:val="00565CE0"/>
    <w:rsid w:val="005803CD"/>
    <w:rsid w:val="00584E5E"/>
    <w:rsid w:val="005F37C4"/>
    <w:rsid w:val="00631F6D"/>
    <w:rsid w:val="00676DC6"/>
    <w:rsid w:val="00694E36"/>
    <w:rsid w:val="006C1B10"/>
    <w:rsid w:val="007420EB"/>
    <w:rsid w:val="0077463B"/>
    <w:rsid w:val="00791ED8"/>
    <w:rsid w:val="007B6636"/>
    <w:rsid w:val="00807566"/>
    <w:rsid w:val="008C7FC6"/>
    <w:rsid w:val="00906B0E"/>
    <w:rsid w:val="00930E39"/>
    <w:rsid w:val="0094269C"/>
    <w:rsid w:val="009434C3"/>
    <w:rsid w:val="009548FE"/>
    <w:rsid w:val="009A2ED3"/>
    <w:rsid w:val="009C6F3D"/>
    <w:rsid w:val="00A762EC"/>
    <w:rsid w:val="00AA783B"/>
    <w:rsid w:val="00AB76A6"/>
    <w:rsid w:val="00AD170D"/>
    <w:rsid w:val="00AE4D85"/>
    <w:rsid w:val="00B1014E"/>
    <w:rsid w:val="00B45166"/>
    <w:rsid w:val="00B60DF6"/>
    <w:rsid w:val="00B85C02"/>
    <w:rsid w:val="00BD2324"/>
    <w:rsid w:val="00C17FBD"/>
    <w:rsid w:val="00C4134A"/>
    <w:rsid w:val="00CA3C0E"/>
    <w:rsid w:val="00D11B73"/>
    <w:rsid w:val="00D56D82"/>
    <w:rsid w:val="00D91A34"/>
    <w:rsid w:val="00DD0520"/>
    <w:rsid w:val="00DD709A"/>
    <w:rsid w:val="00E002F1"/>
    <w:rsid w:val="00E30339"/>
    <w:rsid w:val="00E66C0D"/>
    <w:rsid w:val="00EC7B58"/>
    <w:rsid w:val="00F3729C"/>
    <w:rsid w:val="00F63910"/>
    <w:rsid w:val="00FA1380"/>
    <w:rsid w:val="00FC16C2"/>
    <w:rsid w:val="237348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07B0DA05"/>
  <w15:docId w15:val="{5F460ACA-822A-4FEE-8562-2B2A8BAA6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045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rsid w:val="00110456"/>
    <w:rPr>
      <w:b/>
      <w:bCs/>
    </w:rPr>
  </w:style>
  <w:style w:type="paragraph" w:styleId="a4">
    <w:name w:val="annotation text"/>
    <w:basedOn w:val="a"/>
    <w:link w:val="a6"/>
    <w:uiPriority w:val="99"/>
    <w:semiHidden/>
    <w:qFormat/>
    <w:rsid w:val="00110456"/>
    <w:pPr>
      <w:jc w:val="left"/>
    </w:pPr>
  </w:style>
  <w:style w:type="paragraph" w:styleId="a7">
    <w:name w:val="Balloon Text"/>
    <w:basedOn w:val="a"/>
    <w:link w:val="a8"/>
    <w:uiPriority w:val="99"/>
    <w:semiHidden/>
    <w:rsid w:val="00110456"/>
    <w:rPr>
      <w:sz w:val="18"/>
      <w:szCs w:val="18"/>
    </w:rPr>
  </w:style>
  <w:style w:type="paragraph" w:styleId="a9">
    <w:name w:val="footer"/>
    <w:basedOn w:val="a"/>
    <w:link w:val="aa"/>
    <w:uiPriority w:val="99"/>
    <w:qFormat/>
    <w:rsid w:val="00110456"/>
    <w:pPr>
      <w:tabs>
        <w:tab w:val="center" w:pos="4153"/>
        <w:tab w:val="right" w:pos="8306"/>
      </w:tabs>
      <w:snapToGrid w:val="0"/>
      <w:jc w:val="left"/>
    </w:pPr>
    <w:rPr>
      <w:sz w:val="18"/>
      <w:szCs w:val="18"/>
    </w:rPr>
  </w:style>
  <w:style w:type="paragraph" w:styleId="ab">
    <w:name w:val="header"/>
    <w:basedOn w:val="a"/>
    <w:link w:val="ac"/>
    <w:uiPriority w:val="99"/>
    <w:qFormat/>
    <w:rsid w:val="00110456"/>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rsid w:val="00110456"/>
    <w:pPr>
      <w:widowControl/>
      <w:spacing w:before="100" w:beforeAutospacing="1" w:after="100" w:afterAutospacing="1"/>
      <w:jc w:val="left"/>
    </w:pPr>
    <w:rPr>
      <w:rFonts w:ascii="MS PGothic" w:eastAsia="MS PGothic" w:hAnsi="MS PGothic" w:cs="MS PGothic"/>
      <w:kern w:val="0"/>
      <w:sz w:val="24"/>
      <w:szCs w:val="24"/>
      <w:lang w:eastAsia="ja-JP"/>
    </w:rPr>
  </w:style>
  <w:style w:type="character" w:styleId="ae">
    <w:name w:val="Strong"/>
    <w:basedOn w:val="a0"/>
    <w:uiPriority w:val="99"/>
    <w:qFormat/>
    <w:rsid w:val="00110456"/>
    <w:rPr>
      <w:rFonts w:cs="Times New Roman"/>
      <w:b/>
    </w:rPr>
  </w:style>
  <w:style w:type="character" w:styleId="af">
    <w:name w:val="annotation reference"/>
    <w:basedOn w:val="a0"/>
    <w:uiPriority w:val="99"/>
    <w:semiHidden/>
    <w:rsid w:val="00110456"/>
    <w:rPr>
      <w:rFonts w:cs="Times New Roman"/>
      <w:sz w:val="21"/>
      <w:szCs w:val="21"/>
    </w:rPr>
  </w:style>
  <w:style w:type="character" w:customStyle="1" w:styleId="ac">
    <w:name w:val="页眉 字符"/>
    <w:basedOn w:val="a0"/>
    <w:link w:val="ab"/>
    <w:uiPriority w:val="99"/>
    <w:qFormat/>
    <w:locked/>
    <w:rsid w:val="00110456"/>
    <w:rPr>
      <w:rFonts w:cs="Times New Roman"/>
      <w:sz w:val="18"/>
      <w:szCs w:val="18"/>
    </w:rPr>
  </w:style>
  <w:style w:type="character" w:customStyle="1" w:styleId="aa">
    <w:name w:val="页脚 字符"/>
    <w:basedOn w:val="a0"/>
    <w:link w:val="a9"/>
    <w:uiPriority w:val="99"/>
    <w:qFormat/>
    <w:locked/>
    <w:rsid w:val="00110456"/>
    <w:rPr>
      <w:rFonts w:cs="Times New Roman"/>
      <w:sz w:val="18"/>
      <w:szCs w:val="18"/>
    </w:rPr>
  </w:style>
  <w:style w:type="character" w:customStyle="1" w:styleId="a6">
    <w:name w:val="批注文字 字符"/>
    <w:basedOn w:val="a0"/>
    <w:link w:val="a4"/>
    <w:uiPriority w:val="99"/>
    <w:semiHidden/>
    <w:qFormat/>
    <w:locked/>
    <w:rsid w:val="00110456"/>
    <w:rPr>
      <w:rFonts w:ascii="Calibri" w:hAnsi="Calibri" w:cs="Times New Roman"/>
    </w:rPr>
  </w:style>
  <w:style w:type="character" w:customStyle="1" w:styleId="a5">
    <w:name w:val="批注主题 字符"/>
    <w:basedOn w:val="a6"/>
    <w:link w:val="a3"/>
    <w:uiPriority w:val="99"/>
    <w:semiHidden/>
    <w:qFormat/>
    <w:locked/>
    <w:rsid w:val="00110456"/>
    <w:rPr>
      <w:rFonts w:ascii="Calibri" w:hAnsi="Calibri" w:cs="Times New Roman"/>
      <w:b/>
      <w:bCs/>
    </w:rPr>
  </w:style>
  <w:style w:type="character" w:customStyle="1" w:styleId="a8">
    <w:name w:val="批注框文本 字符"/>
    <w:basedOn w:val="a0"/>
    <w:link w:val="a7"/>
    <w:uiPriority w:val="99"/>
    <w:semiHidden/>
    <w:locked/>
    <w:rsid w:val="00110456"/>
    <w:rPr>
      <w:rFonts w:ascii="Calibri" w:hAnsi="Calibri" w:cs="Times New Roman"/>
      <w:sz w:val="18"/>
      <w:szCs w:val="18"/>
    </w:rPr>
  </w:style>
  <w:style w:type="paragraph" w:customStyle="1" w:styleId="1">
    <w:name w:val="修订1"/>
    <w:hidden/>
    <w:uiPriority w:val="99"/>
    <w:semiHidden/>
    <w:qFormat/>
    <w:rsid w:val="0011045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590</Words>
  <Characters>3365</Characters>
  <Application>Microsoft Office Word</Application>
  <DocSecurity>0</DocSecurity>
  <Lines>28</Lines>
  <Paragraphs>7</Paragraphs>
  <ScaleCrop>false</ScaleCrop>
  <Company>Microsoft</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张光</dc:creator>
  <cp:lastModifiedBy>stt joy</cp:lastModifiedBy>
  <cp:revision>11</cp:revision>
  <dcterms:created xsi:type="dcterms:W3CDTF">2019-03-15T01:07:00Z</dcterms:created>
  <dcterms:modified xsi:type="dcterms:W3CDTF">2024-02-04T03:08:00Z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