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6C0B1" w14:textId="631EF124" w:rsidR="00110456" w:rsidRDefault="00DD6C90">
      <w:pPr>
        <w:spacing w:line="280" w:lineRule="exact"/>
        <w:contextualSpacing/>
        <w:jc w:val="center"/>
        <w:rPr>
          <w:rFonts w:ascii="Times New Roman" w:eastAsia="AdvOTea1a7398" w:hAnsi="Times New Roman"/>
          <w:b/>
          <w:bCs/>
          <w:kern w:val="0"/>
          <w:sz w:val="24"/>
          <w:szCs w:val="24"/>
        </w:rPr>
      </w:pPr>
      <w:r>
        <w:rPr>
          <w:rFonts w:ascii="Times New Roman" w:eastAsia="AdvOTea1a7398" w:hAnsi="Times New Roman"/>
          <w:b/>
          <w:bCs/>
          <w:kern w:val="0"/>
          <w:sz w:val="24"/>
          <w:szCs w:val="24"/>
        </w:rPr>
        <w:t xml:space="preserve">Generation of </w:t>
      </w:r>
      <w:r w:rsidR="00DA0459">
        <w:rPr>
          <w:rFonts w:ascii="Times New Roman" w:eastAsia="AdvOTea1a7398" w:hAnsi="Times New Roman"/>
          <w:b/>
          <w:bCs/>
          <w:kern w:val="0"/>
          <w:sz w:val="24"/>
          <w:szCs w:val="24"/>
        </w:rPr>
        <w:t xml:space="preserve">45-mJ High-Energy Strong-Field THz </w:t>
      </w:r>
      <w:r w:rsidR="005F1DB8">
        <w:rPr>
          <w:rFonts w:ascii="Times New Roman" w:eastAsia="AdvOTea1a7398" w:hAnsi="Times New Roman"/>
          <w:b/>
          <w:bCs/>
          <w:kern w:val="0"/>
          <w:sz w:val="24"/>
          <w:szCs w:val="24"/>
        </w:rPr>
        <w:t xml:space="preserve">Radiation from Lithium </w:t>
      </w:r>
      <w:proofErr w:type="spellStart"/>
      <w:r w:rsidR="005F1DB8">
        <w:rPr>
          <w:rFonts w:ascii="Times New Roman" w:eastAsia="AdvOTea1a7398" w:hAnsi="Times New Roman"/>
          <w:b/>
          <w:bCs/>
          <w:kern w:val="0"/>
          <w:sz w:val="24"/>
          <w:szCs w:val="24"/>
        </w:rPr>
        <w:t>Niobate</w:t>
      </w:r>
      <w:proofErr w:type="spellEnd"/>
      <w:r w:rsidR="005F1DB8">
        <w:rPr>
          <w:rFonts w:ascii="Times New Roman" w:eastAsia="AdvOTea1a7398" w:hAnsi="Times New Roman"/>
          <w:b/>
          <w:bCs/>
          <w:kern w:val="0"/>
          <w:sz w:val="24"/>
          <w:szCs w:val="24"/>
        </w:rPr>
        <w:t xml:space="preserve"> Crystals</w:t>
      </w:r>
    </w:p>
    <w:p w14:paraId="6BBB3E8F" w14:textId="77777777" w:rsidR="00110456" w:rsidRDefault="00110456">
      <w:pPr>
        <w:spacing w:line="280" w:lineRule="exact"/>
        <w:contextualSpacing/>
        <w:jc w:val="center"/>
        <w:rPr>
          <w:rFonts w:ascii="Times New Roman" w:eastAsia="AdvOTea1a7398" w:hAnsi="Times New Roman"/>
          <w:kern w:val="0"/>
          <w:szCs w:val="21"/>
        </w:rPr>
      </w:pPr>
      <w:bookmarkStart w:id="0" w:name="_GoBack"/>
      <w:bookmarkEnd w:id="0"/>
    </w:p>
    <w:p w14:paraId="095BE23F" w14:textId="4D533075" w:rsidR="00110456" w:rsidRDefault="005F1DB8">
      <w:pPr>
        <w:spacing w:line="280" w:lineRule="exact"/>
        <w:contextualSpacing/>
        <w:jc w:val="center"/>
        <w:rPr>
          <w:rFonts w:ascii="Times New Roman" w:eastAsia="AdvOTea1a7398" w:hAnsi="Times New Roman"/>
          <w:i/>
          <w:kern w:val="0"/>
          <w:szCs w:val="21"/>
        </w:rPr>
      </w:pPr>
      <w:proofErr w:type="spellStart"/>
      <w:r>
        <w:rPr>
          <w:rFonts w:ascii="Times New Roman" w:eastAsia="AdvOTea1a7398" w:hAnsi="Times New Roman"/>
          <w:i/>
          <w:kern w:val="0"/>
          <w:szCs w:val="21"/>
        </w:rPr>
        <w:t>Beihang</w:t>
      </w:r>
      <w:proofErr w:type="spellEnd"/>
      <w:r>
        <w:rPr>
          <w:rFonts w:ascii="Times New Roman" w:eastAsia="AdvOTea1a7398" w:hAnsi="Times New Roman"/>
          <w:i/>
          <w:kern w:val="0"/>
          <w:szCs w:val="21"/>
        </w:rPr>
        <w:t xml:space="preserve"> </w:t>
      </w:r>
      <w:r w:rsidR="0009048D">
        <w:rPr>
          <w:rFonts w:ascii="Times New Roman" w:eastAsia="AdvOTea1a7398" w:hAnsi="Times New Roman"/>
          <w:i/>
          <w:kern w:val="0"/>
          <w:szCs w:val="21"/>
        </w:rPr>
        <w:t>University</w:t>
      </w:r>
      <w:r w:rsidR="002C04FB">
        <w:rPr>
          <w:rFonts w:ascii="Times New Roman" w:eastAsia="AdvOTea1a7398" w:hAnsi="Times New Roman"/>
          <w:i/>
          <w:kern w:val="0"/>
          <w:szCs w:val="21"/>
        </w:rPr>
        <w:t>, China</w:t>
      </w:r>
    </w:p>
    <w:p w14:paraId="25034CC0" w14:textId="77777777" w:rsidR="00110456" w:rsidRDefault="00110456">
      <w:pPr>
        <w:spacing w:line="280" w:lineRule="exact"/>
        <w:contextualSpacing/>
        <w:jc w:val="center"/>
        <w:rPr>
          <w:rFonts w:ascii="Times New Roman" w:eastAsia="AdvOTea1a7398" w:hAnsi="Times New Roman"/>
          <w:kern w:val="0"/>
          <w:szCs w:val="21"/>
        </w:rPr>
      </w:pPr>
    </w:p>
    <w:p w14:paraId="0AA42EA1" w14:textId="5664B3DE" w:rsidR="00110456" w:rsidRDefault="005F1DB8">
      <w:pPr>
        <w:spacing w:line="280" w:lineRule="exact"/>
        <w:contextualSpacing/>
        <w:jc w:val="center"/>
        <w:rPr>
          <w:rFonts w:ascii="Times New Roman" w:eastAsia="AdvOTea1a7398" w:hAnsi="Times New Roman"/>
          <w:b/>
          <w:kern w:val="0"/>
          <w:szCs w:val="21"/>
        </w:rPr>
      </w:pPr>
      <w:r>
        <w:rPr>
          <w:rFonts w:ascii="Times New Roman" w:eastAsia="AdvOTea1a7398" w:hAnsi="Times New Roman"/>
          <w:b/>
          <w:kern w:val="0"/>
          <w:szCs w:val="21"/>
        </w:rPr>
        <w:t>Xiaojun Wu</w:t>
      </w:r>
    </w:p>
    <w:p w14:paraId="579D97E6" w14:textId="52919848" w:rsidR="00E002F1" w:rsidRDefault="00E002F1">
      <w:pPr>
        <w:spacing w:line="280" w:lineRule="exact"/>
        <w:contextualSpacing/>
        <w:jc w:val="center"/>
        <w:rPr>
          <w:rFonts w:ascii="Times New Roman" w:eastAsia="AdvOTea1a7398" w:hAnsi="Times New Roman"/>
          <w:b/>
          <w:kern w:val="0"/>
          <w:szCs w:val="21"/>
        </w:rPr>
      </w:pPr>
      <w:r>
        <w:rPr>
          <w:rFonts w:ascii="Times New Roman" w:eastAsia="AdvOTea1a7398" w:hAnsi="Times New Roman" w:hint="eastAsia"/>
          <w:b/>
          <w:kern w:val="0"/>
          <w:szCs w:val="21"/>
        </w:rPr>
        <w:t>Email:</w:t>
      </w:r>
      <w:r>
        <w:rPr>
          <w:rFonts w:ascii="Times New Roman" w:eastAsia="AdvOTea1a7398" w:hAnsi="Times New Roman"/>
          <w:b/>
          <w:kern w:val="0"/>
          <w:szCs w:val="21"/>
        </w:rPr>
        <w:t xml:space="preserve"> </w:t>
      </w:r>
      <w:r w:rsidR="005F1DB8">
        <w:rPr>
          <w:rFonts w:ascii="Times New Roman" w:eastAsia="AdvOTea1a7398" w:hAnsi="Times New Roman"/>
          <w:b/>
          <w:kern w:val="0"/>
          <w:szCs w:val="21"/>
        </w:rPr>
        <w:t>xiaojunwu@buaa.edu.cn</w:t>
      </w:r>
    </w:p>
    <w:p w14:paraId="53D94259" w14:textId="77777777" w:rsidR="00110456" w:rsidRDefault="00110456">
      <w:pPr>
        <w:spacing w:line="280" w:lineRule="exact"/>
        <w:contextualSpacing/>
        <w:jc w:val="center"/>
        <w:rPr>
          <w:rFonts w:ascii="Times New Roman" w:eastAsia="AdvOTea1a7398" w:hAnsi="Times New Roman"/>
          <w:kern w:val="0"/>
          <w:szCs w:val="21"/>
        </w:rPr>
      </w:pPr>
    </w:p>
    <w:p w14:paraId="64EB662D" w14:textId="731CDD39" w:rsidR="00830850" w:rsidRDefault="005F1DB8">
      <w:pPr>
        <w:autoSpaceDE w:val="0"/>
        <w:autoSpaceDN w:val="0"/>
        <w:adjustRightInd w:val="0"/>
        <w:ind w:firstLineChars="200" w:firstLine="420"/>
        <w:rPr>
          <w:rFonts w:ascii="Times New Roman" w:eastAsia="AdvOTea1a7398" w:hAnsi="Times New Roman"/>
          <w:kern w:val="0"/>
          <w:szCs w:val="21"/>
        </w:rPr>
      </w:pPr>
      <w:r>
        <w:rPr>
          <w:rFonts w:ascii="Times New Roman" w:eastAsia="AdvOTea1a7398" w:hAnsi="Times New Roman"/>
          <w:kern w:val="0"/>
          <w:szCs w:val="21"/>
        </w:rPr>
        <w:t xml:space="preserve">Free-space strong-field terahertz (THz) electromagnetic </w:t>
      </w:r>
      <w:r w:rsidR="00830850">
        <w:rPr>
          <w:rFonts w:ascii="Times New Roman" w:eastAsia="AdvOTea1a7398" w:hAnsi="Times New Roman"/>
          <w:kern w:val="0"/>
          <w:szCs w:val="21"/>
        </w:rPr>
        <w:t xml:space="preserve">pulses offers unique high-frequency electric field and pulsed magnetic forces and </w:t>
      </w:r>
      <w:r w:rsidR="00830850">
        <w:rPr>
          <w:rFonts w:ascii="Times New Roman" w:eastAsia="AdvOTea1a7398" w:hAnsi="Times New Roman"/>
          <w:kern w:val="0"/>
          <w:szCs w:val="21"/>
        </w:rPr>
        <w:t xml:space="preserve">multifaceted </w:t>
      </w:r>
      <w:r w:rsidR="00830850">
        <w:rPr>
          <w:rFonts w:ascii="Times New Roman" w:eastAsia="AdvOTea1a7398" w:hAnsi="Times New Roman"/>
          <w:kern w:val="0"/>
          <w:szCs w:val="21"/>
        </w:rPr>
        <w:t>spectroscopic capabilities for accelerating particles, driving non-equilibrium quantum states, understanding the mesoscale low-energy vibrations of macromolecules in (bio)materials. However,</w:t>
      </w:r>
      <w:r w:rsidR="00830850" w:rsidRPr="00830850">
        <w:rPr>
          <w:rFonts w:ascii="Times New Roman" w:eastAsia="AdvOTea1a7398" w:hAnsi="Times New Roman"/>
          <w:kern w:val="0"/>
          <w:szCs w:val="21"/>
        </w:rPr>
        <w:t xml:space="preserve"> the key obstacle to the</w:t>
      </w:r>
      <w:r w:rsidR="00830850">
        <w:rPr>
          <w:rFonts w:ascii="Times New Roman" w:eastAsia="AdvOTea1a7398" w:hAnsi="Times New Roman"/>
          <w:kern w:val="0"/>
          <w:szCs w:val="21"/>
        </w:rPr>
        <w:t>se</w:t>
      </w:r>
      <w:r w:rsidR="00830850" w:rsidRPr="00830850">
        <w:rPr>
          <w:rFonts w:ascii="Times New Roman" w:eastAsia="AdvOTea1a7398" w:hAnsi="Times New Roman"/>
          <w:kern w:val="0"/>
          <w:szCs w:val="21"/>
        </w:rPr>
        <w:t xml:space="preserve"> application</w:t>
      </w:r>
      <w:r w:rsidR="00830850">
        <w:rPr>
          <w:rFonts w:ascii="Times New Roman" w:eastAsia="AdvOTea1a7398" w:hAnsi="Times New Roman"/>
          <w:kern w:val="0"/>
          <w:szCs w:val="21"/>
        </w:rPr>
        <w:t>s</w:t>
      </w:r>
      <w:r w:rsidR="00830850" w:rsidRPr="00830850">
        <w:rPr>
          <w:rFonts w:ascii="Times New Roman" w:eastAsia="AdvOTea1a7398" w:hAnsi="Times New Roman"/>
          <w:kern w:val="0"/>
          <w:szCs w:val="21"/>
        </w:rPr>
        <w:t xml:space="preserve"> lies in the lack of high efficiency, high beam quality, and high stability radiation sources. Lithium </w:t>
      </w:r>
      <w:proofErr w:type="spellStart"/>
      <w:r w:rsidR="00830850" w:rsidRPr="00830850">
        <w:rPr>
          <w:rFonts w:ascii="Times New Roman" w:eastAsia="AdvOTea1a7398" w:hAnsi="Times New Roman"/>
          <w:kern w:val="0"/>
          <w:szCs w:val="21"/>
        </w:rPr>
        <w:t>niobate</w:t>
      </w:r>
      <w:proofErr w:type="spellEnd"/>
      <w:r w:rsidR="00830850" w:rsidRPr="00830850">
        <w:rPr>
          <w:rFonts w:ascii="Times New Roman" w:eastAsia="AdvOTea1a7398" w:hAnsi="Times New Roman"/>
          <w:kern w:val="0"/>
          <w:szCs w:val="21"/>
        </w:rPr>
        <w:t xml:space="preserve"> materials have the advantages of high nonlinear coefficient, large crystal size, high damage threshold, </w:t>
      </w:r>
      <w:r w:rsidR="00830850">
        <w:rPr>
          <w:rFonts w:ascii="Times New Roman" w:eastAsia="AdvOTea1a7398" w:hAnsi="Times New Roman"/>
          <w:kern w:val="0"/>
          <w:szCs w:val="21"/>
        </w:rPr>
        <w:t xml:space="preserve">and are one of the best candidates for generating strong-field THz radiation. </w:t>
      </w:r>
      <w:r w:rsidR="00830850" w:rsidRPr="00830850">
        <w:rPr>
          <w:rFonts w:ascii="Times New Roman" w:eastAsia="AdvOTea1a7398" w:hAnsi="Times New Roman"/>
          <w:kern w:val="0"/>
          <w:szCs w:val="21"/>
        </w:rPr>
        <w:t>However, using the existing ultra</w:t>
      </w:r>
      <w:r w:rsidR="00830850">
        <w:rPr>
          <w:rFonts w:ascii="Times New Roman" w:eastAsia="AdvOTea1a7398" w:hAnsi="Times New Roman"/>
          <w:kern w:val="0"/>
          <w:szCs w:val="21"/>
        </w:rPr>
        <w:t>-strong</w:t>
      </w:r>
      <w:r w:rsidR="00830850" w:rsidRPr="00830850">
        <w:rPr>
          <w:rFonts w:ascii="Times New Roman" w:eastAsia="AdvOTea1a7398" w:hAnsi="Times New Roman"/>
          <w:kern w:val="0"/>
          <w:szCs w:val="21"/>
        </w:rPr>
        <w:t xml:space="preserve"> ultra-short </w:t>
      </w:r>
      <w:proofErr w:type="spellStart"/>
      <w:proofErr w:type="gramStart"/>
      <w:r w:rsidR="00830850" w:rsidRPr="00830850">
        <w:rPr>
          <w:rFonts w:ascii="Times New Roman" w:eastAsia="AdvOTea1a7398" w:hAnsi="Times New Roman"/>
          <w:kern w:val="0"/>
          <w:szCs w:val="21"/>
        </w:rPr>
        <w:t>Ti:sapphire</w:t>
      </w:r>
      <w:proofErr w:type="spellEnd"/>
      <w:proofErr w:type="gramEnd"/>
      <w:r w:rsidR="00830850" w:rsidRPr="00830850">
        <w:rPr>
          <w:rFonts w:ascii="Times New Roman" w:eastAsia="AdvOTea1a7398" w:hAnsi="Times New Roman"/>
          <w:kern w:val="0"/>
          <w:szCs w:val="21"/>
        </w:rPr>
        <w:t xml:space="preserve"> femtosecond laser pulses to pump lithium </w:t>
      </w:r>
      <w:proofErr w:type="spellStart"/>
      <w:r w:rsidR="00830850" w:rsidRPr="00830850">
        <w:rPr>
          <w:rFonts w:ascii="Times New Roman" w:eastAsia="AdvOTea1a7398" w:hAnsi="Times New Roman"/>
          <w:kern w:val="0"/>
          <w:szCs w:val="21"/>
        </w:rPr>
        <w:t>niobate</w:t>
      </w:r>
      <w:proofErr w:type="spellEnd"/>
      <w:r w:rsidR="00830850" w:rsidRPr="00830850">
        <w:rPr>
          <w:rFonts w:ascii="Times New Roman" w:eastAsia="AdvOTea1a7398" w:hAnsi="Times New Roman"/>
          <w:kern w:val="0"/>
          <w:szCs w:val="21"/>
        </w:rPr>
        <w:t xml:space="preserve"> crystals and efficiently generate strong</w:t>
      </w:r>
      <w:r w:rsidR="00830850">
        <w:rPr>
          <w:rFonts w:ascii="Times New Roman" w:eastAsia="AdvOTea1a7398" w:hAnsi="Times New Roman"/>
          <w:kern w:val="0"/>
          <w:szCs w:val="21"/>
        </w:rPr>
        <w:t>-</w:t>
      </w:r>
      <w:r w:rsidR="00830850" w:rsidRPr="00830850">
        <w:rPr>
          <w:rFonts w:ascii="Times New Roman" w:eastAsia="AdvOTea1a7398" w:hAnsi="Times New Roman"/>
          <w:kern w:val="0"/>
          <w:szCs w:val="21"/>
        </w:rPr>
        <w:t xml:space="preserve">field THz radiation, there are at least three major problems and challenges need to be overcome: phase mismatch caused by refractive index difference, low efficiency caused by </w:t>
      </w:r>
      <w:r w:rsidR="00830850">
        <w:rPr>
          <w:rFonts w:ascii="Times New Roman" w:eastAsia="AdvOTea1a7398" w:hAnsi="Times New Roman"/>
          <w:kern w:val="0"/>
          <w:szCs w:val="21"/>
        </w:rPr>
        <w:t xml:space="preserve">intrinsic </w:t>
      </w:r>
      <w:r w:rsidR="00830850" w:rsidRPr="00830850">
        <w:rPr>
          <w:rFonts w:ascii="Times New Roman" w:eastAsia="AdvOTea1a7398" w:hAnsi="Times New Roman"/>
          <w:kern w:val="0"/>
          <w:szCs w:val="21"/>
        </w:rPr>
        <w:t xml:space="preserve">short pulses, and nonlinear effects caused by high pump </w:t>
      </w:r>
      <w:r w:rsidR="00DD72D2">
        <w:rPr>
          <w:rFonts w:ascii="Times New Roman" w:eastAsia="AdvOTea1a7398" w:hAnsi="Times New Roman"/>
          <w:kern w:val="0"/>
          <w:szCs w:val="21"/>
        </w:rPr>
        <w:t>intensity</w:t>
      </w:r>
      <w:r w:rsidR="00830850" w:rsidRPr="00830850">
        <w:rPr>
          <w:rFonts w:ascii="Times New Roman" w:eastAsia="AdvOTea1a7398" w:hAnsi="Times New Roman"/>
          <w:kern w:val="0"/>
          <w:szCs w:val="21"/>
        </w:rPr>
        <w:t xml:space="preserve">. </w:t>
      </w:r>
      <w:r w:rsidR="00DD72D2">
        <w:rPr>
          <w:rFonts w:ascii="Times New Roman" w:eastAsia="AdvOTea1a7398" w:hAnsi="Times New Roman"/>
          <w:kern w:val="0"/>
          <w:szCs w:val="21"/>
        </w:rPr>
        <w:t xml:space="preserve">In this talk I will present our recent efforts on how to solve these difficulties and consequently obtain 45-mJ single-pulse energy of THz radiation from cryogenically cooled stacked six large-size </w:t>
      </w:r>
      <w:r w:rsidR="00830850" w:rsidRPr="00830850">
        <w:rPr>
          <w:rFonts w:ascii="Times New Roman" w:eastAsia="AdvOTea1a7398" w:hAnsi="Times New Roman"/>
          <w:kern w:val="0"/>
          <w:szCs w:val="21"/>
        </w:rPr>
        <w:t xml:space="preserve">lithium </w:t>
      </w:r>
      <w:proofErr w:type="spellStart"/>
      <w:r w:rsidR="00830850" w:rsidRPr="00830850">
        <w:rPr>
          <w:rFonts w:ascii="Times New Roman" w:eastAsia="AdvOTea1a7398" w:hAnsi="Times New Roman"/>
          <w:kern w:val="0"/>
          <w:szCs w:val="21"/>
        </w:rPr>
        <w:t>niobate</w:t>
      </w:r>
      <w:proofErr w:type="spellEnd"/>
      <w:r w:rsidR="00830850" w:rsidRPr="00830850">
        <w:rPr>
          <w:rFonts w:ascii="Times New Roman" w:eastAsia="AdvOTea1a7398" w:hAnsi="Times New Roman"/>
          <w:kern w:val="0"/>
          <w:szCs w:val="21"/>
        </w:rPr>
        <w:t xml:space="preserve"> </w:t>
      </w:r>
      <w:r w:rsidR="00DD72D2">
        <w:rPr>
          <w:rFonts w:ascii="Times New Roman" w:eastAsia="AdvOTea1a7398" w:hAnsi="Times New Roman"/>
          <w:kern w:val="0"/>
          <w:szCs w:val="21"/>
        </w:rPr>
        <w:t>crystals driven by petawatt SULF-laser facility.</w:t>
      </w:r>
    </w:p>
    <w:p w14:paraId="355FC274" w14:textId="77777777" w:rsidR="00DD6C90" w:rsidRDefault="00DD6C90">
      <w:pPr>
        <w:autoSpaceDE w:val="0"/>
        <w:autoSpaceDN w:val="0"/>
        <w:adjustRightInd w:val="0"/>
        <w:ind w:firstLineChars="200" w:firstLine="420"/>
        <w:rPr>
          <w:rFonts w:ascii="Times New Roman" w:eastAsia="AdvOTea1a7398" w:hAnsi="Times New Roman" w:hint="eastAsia"/>
          <w:kern w:val="0"/>
          <w:szCs w:val="21"/>
        </w:rPr>
      </w:pPr>
    </w:p>
    <w:p w14:paraId="3DB0CCFC" w14:textId="36D5463C" w:rsidR="00110456" w:rsidRDefault="00DD72D2">
      <w:pPr>
        <w:overflowPunct w:val="0"/>
        <w:autoSpaceDE w:val="0"/>
        <w:autoSpaceDN w:val="0"/>
        <w:spacing w:line="440" w:lineRule="exact"/>
        <w:jc w:val="left"/>
        <w:rPr>
          <w:rFonts w:ascii="Times New Roman" w:hAnsi="Times New Roman"/>
          <w:b/>
          <w:bCs/>
          <w:szCs w:val="21"/>
          <w:u w:val="single"/>
        </w:rPr>
      </w:pPr>
      <w:r>
        <w:rPr>
          <w:noProof/>
        </w:rPr>
        <w:drawing>
          <wp:anchor distT="0" distB="0" distL="114300" distR="114300" simplePos="0" relativeHeight="251661312" behindDoc="0" locked="0" layoutInCell="1" allowOverlap="1" wp14:anchorId="1201D41E" wp14:editId="3948BF07">
            <wp:simplePos x="0" y="0"/>
            <wp:positionH relativeFrom="margin">
              <wp:align>left</wp:align>
            </wp:positionH>
            <wp:positionV relativeFrom="paragraph">
              <wp:posOffset>270510</wp:posOffset>
            </wp:positionV>
            <wp:extent cx="789305" cy="964565"/>
            <wp:effectExtent l="0" t="0" r="0" b="698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930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4FB">
        <w:rPr>
          <w:rFonts w:ascii="Times New Roman" w:hAnsi="Times New Roman"/>
          <w:b/>
          <w:bCs/>
          <w:szCs w:val="21"/>
          <w:u w:val="single"/>
        </w:rPr>
        <w:t>Short Bio:</w:t>
      </w:r>
    </w:p>
    <w:p w14:paraId="5821A0DC" w14:textId="24F200FE" w:rsidR="00384E8A" w:rsidRDefault="00DD72D2" w:rsidP="00DD6C90">
      <w:pPr>
        <w:spacing w:line="280" w:lineRule="exact"/>
        <w:contextualSpacing/>
        <w:rPr>
          <w:rFonts w:ascii="Times New Roman" w:hAnsi="Times New Roman" w:hint="eastAsia"/>
          <w:szCs w:val="21"/>
        </w:rPr>
      </w:pPr>
      <w:r w:rsidRPr="00DD72D2">
        <w:rPr>
          <w:rFonts w:ascii="Times New Roman" w:eastAsia="AdvOTea1a7398" w:hAnsi="Times New Roman"/>
          <w:b/>
          <w:kern w:val="0"/>
          <w:szCs w:val="21"/>
        </w:rPr>
        <w:t>Xiaojun Wu</w:t>
      </w:r>
      <w:r w:rsidRPr="00DD72D2">
        <w:rPr>
          <w:rFonts w:ascii="Times New Roman" w:eastAsia="AdvOTea1a7398" w:hAnsi="Times New Roman"/>
          <w:kern w:val="0"/>
          <w:szCs w:val="21"/>
        </w:rPr>
        <w:t xml:space="preserve"> received his PhD degree in the Institute of Physics, C</w:t>
      </w:r>
      <w:r>
        <w:rPr>
          <w:rFonts w:ascii="Times New Roman" w:eastAsia="AdvOTea1a7398" w:hAnsi="Times New Roman"/>
          <w:kern w:val="0"/>
          <w:szCs w:val="21"/>
        </w:rPr>
        <w:t>AS</w:t>
      </w:r>
      <w:r w:rsidRPr="00DD72D2">
        <w:rPr>
          <w:rFonts w:ascii="Times New Roman" w:eastAsia="AdvOTea1a7398" w:hAnsi="Times New Roman"/>
          <w:kern w:val="0"/>
          <w:szCs w:val="21"/>
        </w:rPr>
        <w:t xml:space="preserve">. She joined in </w:t>
      </w:r>
      <w:proofErr w:type="spellStart"/>
      <w:r w:rsidRPr="00DD72D2">
        <w:rPr>
          <w:rFonts w:ascii="Times New Roman" w:eastAsia="AdvOTea1a7398" w:hAnsi="Times New Roman"/>
          <w:kern w:val="0"/>
          <w:szCs w:val="21"/>
        </w:rPr>
        <w:t>Beihang</w:t>
      </w:r>
      <w:proofErr w:type="spellEnd"/>
      <w:r w:rsidRPr="00DD72D2">
        <w:rPr>
          <w:rFonts w:ascii="Times New Roman" w:eastAsia="AdvOTea1a7398" w:hAnsi="Times New Roman"/>
          <w:kern w:val="0"/>
          <w:szCs w:val="21"/>
        </w:rPr>
        <w:t xml:space="preserve"> University in the May of 2017 after she completed his Humboldt </w:t>
      </w:r>
      <w:r>
        <w:rPr>
          <w:rFonts w:ascii="Times New Roman" w:eastAsia="AdvOTea1a7398" w:hAnsi="Times New Roman"/>
          <w:kern w:val="0"/>
          <w:szCs w:val="21"/>
        </w:rPr>
        <w:t>Fellowship</w:t>
      </w:r>
      <w:r w:rsidRPr="00DD72D2">
        <w:rPr>
          <w:rFonts w:ascii="Times New Roman" w:eastAsia="AdvOTea1a7398" w:hAnsi="Times New Roman"/>
          <w:kern w:val="0"/>
          <w:szCs w:val="21"/>
        </w:rPr>
        <w:t xml:space="preserve"> at DESY in Germany. </w:t>
      </w:r>
      <w:r>
        <w:rPr>
          <w:rFonts w:ascii="Times New Roman" w:eastAsia="AdvOTea1a7398" w:hAnsi="Times New Roman"/>
          <w:kern w:val="0"/>
          <w:szCs w:val="21"/>
        </w:rPr>
        <w:t>Her research interests are</w:t>
      </w:r>
      <w:r w:rsidRPr="00DD72D2">
        <w:rPr>
          <w:rFonts w:ascii="Times New Roman" w:eastAsia="AdvOTea1a7398" w:hAnsi="Times New Roman"/>
          <w:kern w:val="0"/>
          <w:szCs w:val="21"/>
        </w:rPr>
        <w:t xml:space="preserve"> generating high-energy </w:t>
      </w:r>
      <w:r>
        <w:rPr>
          <w:rFonts w:ascii="Times New Roman" w:eastAsia="AdvOTea1a7398" w:hAnsi="Times New Roman"/>
          <w:kern w:val="0"/>
          <w:szCs w:val="21"/>
        </w:rPr>
        <w:t>strong</w:t>
      </w:r>
      <w:r w:rsidRPr="00DD72D2">
        <w:rPr>
          <w:rFonts w:ascii="Times New Roman" w:eastAsia="AdvOTea1a7398" w:hAnsi="Times New Roman"/>
          <w:kern w:val="0"/>
          <w:szCs w:val="21"/>
        </w:rPr>
        <w:t xml:space="preserve">-field THz radiation and its applications. She was awarded the first </w:t>
      </w:r>
      <w:proofErr w:type="spellStart"/>
      <w:r w:rsidRPr="00DD72D2">
        <w:rPr>
          <w:rFonts w:ascii="Times New Roman" w:eastAsia="AdvOTea1a7398" w:hAnsi="Times New Roman"/>
          <w:kern w:val="0"/>
          <w:szCs w:val="21"/>
        </w:rPr>
        <w:t>Zhenyi</w:t>
      </w:r>
      <w:proofErr w:type="spellEnd"/>
      <w:r w:rsidRPr="00DD72D2">
        <w:rPr>
          <w:rFonts w:ascii="Times New Roman" w:eastAsia="AdvOTea1a7398" w:hAnsi="Times New Roman"/>
          <w:kern w:val="0"/>
          <w:szCs w:val="21"/>
        </w:rPr>
        <w:t xml:space="preserve"> Wang Award by International Society of Infrared, Millimeter, and THz Waves, the first Women in Ultrafast Science Global Award, the first prize of the first China Science and Technology Youth Forum</w:t>
      </w:r>
      <w:r w:rsidR="00DD6C90">
        <w:rPr>
          <w:rFonts w:ascii="Times New Roman" w:eastAsia="AdvOTea1a7398" w:hAnsi="Times New Roman"/>
          <w:kern w:val="0"/>
          <w:szCs w:val="21"/>
        </w:rPr>
        <w:t xml:space="preserve"> and Optica Fellow. </w:t>
      </w:r>
    </w:p>
    <w:sectPr w:rsidR="00384E8A" w:rsidSect="00507658">
      <w:headerReference w:type="default" r:id="rId8"/>
      <w:footerReference w:type="default" r:id="rId9"/>
      <w:pgSz w:w="9072" w:h="13892"/>
      <w:pgMar w:top="1018" w:right="851" w:bottom="1418" w:left="1418" w:header="851" w:footer="992" w:gutter="0"/>
      <w:pgNumType w:fmt="numberInDash"/>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DFBC45" w16cex:dateUtc="2023-04-11T03:00:00Z"/>
  <w16cex:commentExtensible w16cex:durableId="27DFBC17" w16cex:dateUtc="2023-04-11T02:59:00Z"/>
  <w16cex:commentExtensible w16cex:durableId="27DFBC89" w16cex:dateUtc="2023-04-11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44680" w14:textId="77777777" w:rsidR="00542C2A" w:rsidRDefault="00542C2A" w:rsidP="00110456">
      <w:r>
        <w:separator/>
      </w:r>
    </w:p>
  </w:endnote>
  <w:endnote w:type="continuationSeparator" w:id="0">
    <w:p w14:paraId="19899C50" w14:textId="77777777" w:rsidR="00542C2A" w:rsidRDefault="00542C2A" w:rsidP="00110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dvOTea1a7398">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EEA9E" w14:textId="77777777" w:rsidR="00110456" w:rsidRDefault="00110456">
    <w:pPr>
      <w:pStyle w:val="a9"/>
      <w:jc w:val="right"/>
    </w:pPr>
    <w:r>
      <w:fldChar w:fldCharType="begin"/>
    </w:r>
    <w:r w:rsidR="002C04FB">
      <w:instrText>PAGE   \* MERGEFORMAT</w:instrText>
    </w:r>
    <w:r>
      <w:fldChar w:fldCharType="separate"/>
    </w:r>
    <w:r w:rsidR="009A2ED3" w:rsidRPr="009A2ED3">
      <w:rPr>
        <w:noProof/>
        <w:lang w:val="zh-CN"/>
      </w:rPr>
      <w:t>-</w:t>
    </w:r>
    <w:r w:rsidR="009A2ED3">
      <w:rPr>
        <w:noProof/>
      </w:rPr>
      <w:t xml:space="preserve"> 1 -</w:t>
    </w:r>
    <w:r>
      <w:fldChar w:fldCharType="end"/>
    </w:r>
  </w:p>
  <w:p w14:paraId="29DB7EF9" w14:textId="77777777" w:rsidR="00110456" w:rsidRDefault="0011045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BEFF1" w14:textId="77777777" w:rsidR="00542C2A" w:rsidRDefault="00542C2A" w:rsidP="00110456">
      <w:r>
        <w:separator/>
      </w:r>
    </w:p>
  </w:footnote>
  <w:footnote w:type="continuationSeparator" w:id="0">
    <w:p w14:paraId="4AFD1D35" w14:textId="77777777" w:rsidR="00542C2A" w:rsidRDefault="00542C2A" w:rsidP="00110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3782E" w14:textId="6A7E6AAC" w:rsidR="00110456" w:rsidRDefault="00067343">
    <w:pPr>
      <w:pStyle w:val="ab"/>
    </w:pPr>
    <w:r>
      <w:rPr>
        <w:noProof/>
      </w:rPr>
      <w:drawing>
        <wp:anchor distT="0" distB="0" distL="114300" distR="114300" simplePos="0" relativeHeight="1024" behindDoc="0" locked="0" layoutInCell="1" allowOverlap="1" wp14:anchorId="601EA603" wp14:editId="1FB7D54B">
          <wp:simplePos x="0" y="0"/>
          <wp:positionH relativeFrom="margin">
            <wp:posOffset>3490595</wp:posOffset>
          </wp:positionH>
          <wp:positionV relativeFrom="paragraph">
            <wp:posOffset>-216535</wp:posOffset>
          </wp:positionV>
          <wp:extent cx="809625" cy="349250"/>
          <wp:effectExtent l="0" t="0" r="9525" b="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492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3D"/>
    <w:rsid w:val="00021B4C"/>
    <w:rsid w:val="0003479A"/>
    <w:rsid w:val="00060120"/>
    <w:rsid w:val="00067343"/>
    <w:rsid w:val="0009048D"/>
    <w:rsid w:val="00110456"/>
    <w:rsid w:val="001A22C7"/>
    <w:rsid w:val="0026535C"/>
    <w:rsid w:val="002B6185"/>
    <w:rsid w:val="002C04FB"/>
    <w:rsid w:val="002E4865"/>
    <w:rsid w:val="003220BE"/>
    <w:rsid w:val="0033595C"/>
    <w:rsid w:val="00384E8A"/>
    <w:rsid w:val="00393B48"/>
    <w:rsid w:val="003B3975"/>
    <w:rsid w:val="003C7BE6"/>
    <w:rsid w:val="00404D43"/>
    <w:rsid w:val="00466898"/>
    <w:rsid w:val="00473DC4"/>
    <w:rsid w:val="004876EA"/>
    <w:rsid w:val="004879E9"/>
    <w:rsid w:val="004905A6"/>
    <w:rsid w:val="004E52B7"/>
    <w:rsid w:val="00507658"/>
    <w:rsid w:val="00511090"/>
    <w:rsid w:val="00542C2A"/>
    <w:rsid w:val="00565CE0"/>
    <w:rsid w:val="005803CD"/>
    <w:rsid w:val="00584E5E"/>
    <w:rsid w:val="005F1DB8"/>
    <w:rsid w:val="005F37C4"/>
    <w:rsid w:val="00631F6D"/>
    <w:rsid w:val="00676DC6"/>
    <w:rsid w:val="00694E36"/>
    <w:rsid w:val="006C1B10"/>
    <w:rsid w:val="0077463B"/>
    <w:rsid w:val="00791ED8"/>
    <w:rsid w:val="007B6636"/>
    <w:rsid w:val="00807566"/>
    <w:rsid w:val="00830850"/>
    <w:rsid w:val="008C7FC6"/>
    <w:rsid w:val="00906B0E"/>
    <w:rsid w:val="00930E39"/>
    <w:rsid w:val="0094269C"/>
    <w:rsid w:val="009434C3"/>
    <w:rsid w:val="009548FE"/>
    <w:rsid w:val="009A2ED3"/>
    <w:rsid w:val="009C6F3D"/>
    <w:rsid w:val="00A762EC"/>
    <w:rsid w:val="00AB76A6"/>
    <w:rsid w:val="00AD170D"/>
    <w:rsid w:val="00B1014E"/>
    <w:rsid w:val="00B45166"/>
    <w:rsid w:val="00B60DF6"/>
    <w:rsid w:val="00B85C02"/>
    <w:rsid w:val="00BD2324"/>
    <w:rsid w:val="00C4134A"/>
    <w:rsid w:val="00CA3C0E"/>
    <w:rsid w:val="00D11B73"/>
    <w:rsid w:val="00D56D82"/>
    <w:rsid w:val="00D91A34"/>
    <w:rsid w:val="00DA0459"/>
    <w:rsid w:val="00DD0520"/>
    <w:rsid w:val="00DD6C90"/>
    <w:rsid w:val="00DD709A"/>
    <w:rsid w:val="00DD72D2"/>
    <w:rsid w:val="00E002F1"/>
    <w:rsid w:val="00E30339"/>
    <w:rsid w:val="00E66C0D"/>
    <w:rsid w:val="00EC7B58"/>
    <w:rsid w:val="00F3729C"/>
    <w:rsid w:val="00F63910"/>
    <w:rsid w:val="00FA1380"/>
    <w:rsid w:val="00FC16C2"/>
    <w:rsid w:val="237348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07B0DA05"/>
  <w15:docId w15:val="{5F460ACA-822A-4FEE-8562-2B2A8BAA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1045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rsid w:val="00110456"/>
    <w:rPr>
      <w:b/>
      <w:bCs/>
    </w:rPr>
  </w:style>
  <w:style w:type="paragraph" w:styleId="a4">
    <w:name w:val="annotation text"/>
    <w:basedOn w:val="a"/>
    <w:link w:val="a6"/>
    <w:uiPriority w:val="99"/>
    <w:semiHidden/>
    <w:qFormat/>
    <w:rsid w:val="00110456"/>
    <w:pPr>
      <w:jc w:val="left"/>
    </w:pPr>
  </w:style>
  <w:style w:type="paragraph" w:styleId="a7">
    <w:name w:val="Balloon Text"/>
    <w:basedOn w:val="a"/>
    <w:link w:val="a8"/>
    <w:uiPriority w:val="99"/>
    <w:semiHidden/>
    <w:rsid w:val="00110456"/>
    <w:rPr>
      <w:sz w:val="18"/>
      <w:szCs w:val="18"/>
    </w:rPr>
  </w:style>
  <w:style w:type="paragraph" w:styleId="a9">
    <w:name w:val="footer"/>
    <w:basedOn w:val="a"/>
    <w:link w:val="aa"/>
    <w:uiPriority w:val="99"/>
    <w:qFormat/>
    <w:rsid w:val="00110456"/>
    <w:pPr>
      <w:tabs>
        <w:tab w:val="center" w:pos="4153"/>
        <w:tab w:val="right" w:pos="8306"/>
      </w:tabs>
      <w:snapToGrid w:val="0"/>
      <w:jc w:val="left"/>
    </w:pPr>
    <w:rPr>
      <w:sz w:val="18"/>
      <w:szCs w:val="18"/>
    </w:rPr>
  </w:style>
  <w:style w:type="paragraph" w:styleId="ab">
    <w:name w:val="header"/>
    <w:basedOn w:val="a"/>
    <w:link w:val="ac"/>
    <w:uiPriority w:val="99"/>
    <w:qFormat/>
    <w:rsid w:val="00110456"/>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rsid w:val="00110456"/>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e">
    <w:name w:val="Strong"/>
    <w:basedOn w:val="a0"/>
    <w:uiPriority w:val="99"/>
    <w:qFormat/>
    <w:rsid w:val="00110456"/>
    <w:rPr>
      <w:rFonts w:cs="Times New Roman"/>
      <w:b/>
    </w:rPr>
  </w:style>
  <w:style w:type="character" w:styleId="af">
    <w:name w:val="annotation reference"/>
    <w:basedOn w:val="a0"/>
    <w:uiPriority w:val="99"/>
    <w:semiHidden/>
    <w:rsid w:val="00110456"/>
    <w:rPr>
      <w:rFonts w:cs="Times New Roman"/>
      <w:sz w:val="21"/>
      <w:szCs w:val="21"/>
    </w:rPr>
  </w:style>
  <w:style w:type="character" w:customStyle="1" w:styleId="ac">
    <w:name w:val="页眉 字符"/>
    <w:basedOn w:val="a0"/>
    <w:link w:val="ab"/>
    <w:uiPriority w:val="99"/>
    <w:qFormat/>
    <w:locked/>
    <w:rsid w:val="00110456"/>
    <w:rPr>
      <w:rFonts w:cs="Times New Roman"/>
      <w:sz w:val="18"/>
      <w:szCs w:val="18"/>
    </w:rPr>
  </w:style>
  <w:style w:type="character" w:customStyle="1" w:styleId="aa">
    <w:name w:val="页脚 字符"/>
    <w:basedOn w:val="a0"/>
    <w:link w:val="a9"/>
    <w:uiPriority w:val="99"/>
    <w:qFormat/>
    <w:locked/>
    <w:rsid w:val="00110456"/>
    <w:rPr>
      <w:rFonts w:cs="Times New Roman"/>
      <w:sz w:val="18"/>
      <w:szCs w:val="18"/>
    </w:rPr>
  </w:style>
  <w:style w:type="character" w:customStyle="1" w:styleId="a6">
    <w:name w:val="批注文字 字符"/>
    <w:basedOn w:val="a0"/>
    <w:link w:val="a4"/>
    <w:uiPriority w:val="99"/>
    <w:semiHidden/>
    <w:qFormat/>
    <w:locked/>
    <w:rsid w:val="00110456"/>
    <w:rPr>
      <w:rFonts w:ascii="Calibri" w:hAnsi="Calibri" w:cs="Times New Roman"/>
    </w:rPr>
  </w:style>
  <w:style w:type="character" w:customStyle="1" w:styleId="a5">
    <w:name w:val="批注主题 字符"/>
    <w:basedOn w:val="a6"/>
    <w:link w:val="a3"/>
    <w:uiPriority w:val="99"/>
    <w:semiHidden/>
    <w:qFormat/>
    <w:locked/>
    <w:rsid w:val="00110456"/>
    <w:rPr>
      <w:rFonts w:ascii="Calibri" w:hAnsi="Calibri" w:cs="Times New Roman"/>
      <w:b/>
      <w:bCs/>
    </w:rPr>
  </w:style>
  <w:style w:type="character" w:customStyle="1" w:styleId="a8">
    <w:name w:val="批注框文本 字符"/>
    <w:basedOn w:val="a0"/>
    <w:link w:val="a7"/>
    <w:uiPriority w:val="99"/>
    <w:semiHidden/>
    <w:locked/>
    <w:rsid w:val="00110456"/>
    <w:rPr>
      <w:rFonts w:ascii="Calibri" w:hAnsi="Calibri" w:cs="Times New Roman"/>
      <w:sz w:val="18"/>
      <w:szCs w:val="18"/>
    </w:rPr>
  </w:style>
  <w:style w:type="paragraph" w:customStyle="1" w:styleId="1">
    <w:name w:val="修订1"/>
    <w:hidden/>
    <w:uiPriority w:val="99"/>
    <w:semiHidden/>
    <w:qFormat/>
    <w:rsid w:val="0011045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305</Words>
  <Characters>1744</Characters>
  <Application>Microsoft Office Word</Application>
  <DocSecurity>0</DocSecurity>
  <Lines>14</Lines>
  <Paragraphs>4</Paragraphs>
  <ScaleCrop>false</ScaleCrop>
  <Company>Microsoft</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张光</dc:creator>
  <cp:lastModifiedBy>PC</cp:lastModifiedBy>
  <cp:revision>7</cp:revision>
  <dcterms:created xsi:type="dcterms:W3CDTF">2019-03-15T01:07:00Z</dcterms:created>
  <dcterms:modified xsi:type="dcterms:W3CDTF">2024-02-01T08:56:00Z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