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0" w:lineRule="exact"/>
        <w:contextualSpacing/>
        <w:jc w:val="center"/>
        <w:rPr>
          <w:rFonts w:ascii="Times New Roman" w:hAnsi="Times New Roman" w:eastAsia="AdvOTea1a7398"/>
          <w:b/>
          <w:bCs/>
          <w:kern w:val="0"/>
          <w:sz w:val="24"/>
          <w:szCs w:val="24"/>
        </w:rPr>
      </w:pPr>
      <w:r>
        <w:rPr>
          <w:rFonts w:ascii="Times New Roman" w:hAnsi="Times New Roman" w:eastAsia="AdvOTea1a7398"/>
          <w:b/>
          <w:bCs/>
          <w:kern w:val="0"/>
          <w:sz w:val="24"/>
          <w:szCs w:val="24"/>
        </w:rPr>
        <w:t>Hi</w:t>
      </w:r>
      <w:r>
        <w:rPr>
          <w:rFonts w:hint="eastAsia" w:ascii="Times New Roman" w:hAnsi="Times New Roman" w:eastAsia="AdvOTea1a7398"/>
          <w:b/>
          <w:bCs/>
          <w:kern w:val="0"/>
          <w:sz w:val="24"/>
          <w:szCs w:val="24"/>
          <w:lang w:val="en-US" w:eastAsia="zh-CN"/>
        </w:rPr>
        <w:t>gh</w:t>
      </w:r>
      <w:r>
        <w:rPr>
          <w:rFonts w:ascii="Times New Roman" w:hAnsi="Times New Roman" w:eastAsia="AdvOTea1a7398"/>
          <w:b/>
          <w:bCs/>
          <w:kern w:val="0"/>
          <w:sz w:val="24"/>
          <w:szCs w:val="24"/>
        </w:rPr>
        <w:t xml:space="preserve"> efficient halide pervoskite materials for lighting and display application</w:t>
      </w:r>
    </w:p>
    <w:p>
      <w:pPr>
        <w:spacing w:line="280" w:lineRule="exact"/>
        <w:contextualSpacing/>
        <w:jc w:val="center"/>
        <w:rPr>
          <w:rFonts w:ascii="Times New Roman" w:hAnsi="Times New Roman" w:eastAsia="AdvOTea1a7398"/>
          <w:kern w:val="0"/>
          <w:szCs w:val="21"/>
        </w:rPr>
      </w:pPr>
    </w:p>
    <w:p>
      <w:pPr>
        <w:spacing w:line="280" w:lineRule="exact"/>
        <w:contextualSpacing/>
        <w:jc w:val="center"/>
        <w:rPr>
          <w:rFonts w:ascii="Times New Roman" w:hAnsi="Times New Roman" w:eastAsia="AdvOTea1a7398"/>
          <w:i/>
          <w:kern w:val="0"/>
          <w:szCs w:val="21"/>
        </w:rPr>
      </w:pPr>
      <w:r>
        <w:rPr>
          <w:rFonts w:ascii="Times New Roman" w:hAnsi="Times New Roman" w:eastAsia="AdvOTea1a7398"/>
          <w:i/>
          <w:kern w:val="0"/>
          <w:szCs w:val="21"/>
        </w:rPr>
        <w:t>Nankai University, China</w:t>
      </w:r>
    </w:p>
    <w:p>
      <w:pPr>
        <w:spacing w:line="280" w:lineRule="exact"/>
        <w:contextualSpacing/>
        <w:jc w:val="center"/>
        <w:rPr>
          <w:rFonts w:ascii="Times New Roman" w:hAnsi="Times New Roman" w:eastAsia="AdvOTea1a7398"/>
          <w:kern w:val="0"/>
          <w:szCs w:val="21"/>
        </w:rPr>
      </w:pPr>
    </w:p>
    <w:p>
      <w:pPr>
        <w:spacing w:line="280" w:lineRule="exact"/>
        <w:contextualSpacing/>
        <w:jc w:val="center"/>
        <w:rPr>
          <w:rFonts w:ascii="Times New Roman" w:hAnsi="Times New Roman" w:eastAsia="AdvOTea1a7398"/>
          <w:b/>
          <w:kern w:val="0"/>
          <w:szCs w:val="21"/>
        </w:rPr>
      </w:pPr>
      <w:r>
        <w:rPr>
          <w:rFonts w:ascii="Times New Roman" w:hAnsi="Times New Roman" w:eastAsia="AdvOTea1a7398"/>
          <w:b/>
          <w:kern w:val="0"/>
          <w:szCs w:val="21"/>
        </w:rPr>
        <w:t>Xiyan Li</w:t>
      </w:r>
    </w:p>
    <w:p>
      <w:pPr>
        <w:spacing w:line="280" w:lineRule="exact"/>
        <w:contextualSpacing/>
        <w:jc w:val="center"/>
        <w:rPr>
          <w:rFonts w:ascii="Times New Roman" w:hAnsi="Times New Roman" w:eastAsia="AdvOTea1a7398"/>
          <w:b/>
          <w:kern w:val="0"/>
          <w:szCs w:val="21"/>
        </w:rPr>
      </w:pPr>
      <w:r>
        <w:rPr>
          <w:rFonts w:hint="eastAsia" w:ascii="Times New Roman" w:hAnsi="Times New Roman" w:eastAsia="AdvOTea1a7398"/>
          <w:b/>
          <w:kern w:val="0"/>
          <w:szCs w:val="21"/>
        </w:rPr>
        <w:t>Email:</w:t>
      </w:r>
      <w:r>
        <w:rPr>
          <w:rFonts w:ascii="Times New Roman" w:hAnsi="Times New Roman" w:eastAsia="AdvOTea1a7398"/>
          <w:b/>
          <w:kern w:val="0"/>
          <w:szCs w:val="21"/>
        </w:rPr>
        <w:t xml:space="preserve"> xiyan.li@nankai.edu.cn</w:t>
      </w:r>
    </w:p>
    <w:p>
      <w:pPr>
        <w:spacing w:line="280" w:lineRule="exact"/>
        <w:contextualSpacing/>
        <w:jc w:val="center"/>
        <w:rPr>
          <w:rFonts w:ascii="Times New Roman" w:hAnsi="Times New Roman" w:eastAsia="AdvOTea1a7398"/>
          <w:kern w:val="0"/>
          <w:szCs w:val="21"/>
        </w:rPr>
      </w:pPr>
    </w:p>
    <w:p>
      <w:pPr>
        <w:autoSpaceDE w:val="0"/>
        <w:autoSpaceDN w:val="0"/>
        <w:adjustRightInd w:val="0"/>
        <w:ind w:firstLine="420" w:firstLineChars="200"/>
        <w:rPr>
          <w:rFonts w:ascii="Times New Roman" w:hAnsi="Times New Roman" w:eastAsia="AdvOTea1a7398"/>
          <w:kern w:val="0"/>
          <w:szCs w:val="21"/>
        </w:rPr>
      </w:pPr>
      <w:r>
        <w:rPr>
          <w:rFonts w:ascii="Times New Roman" w:hAnsi="Times New Roman" w:eastAsia="AdvOTea1a7398"/>
          <w:kern w:val="0"/>
          <w:szCs w:val="21"/>
        </w:rPr>
        <w:t>Lead-free perovskite materials, such as Cs</w:t>
      </w:r>
      <w:r>
        <w:rPr>
          <w:rFonts w:ascii="Times New Roman" w:hAnsi="Times New Roman" w:eastAsia="AdvOTea1a7398"/>
          <w:kern w:val="0"/>
          <w:szCs w:val="21"/>
          <w:vertAlign w:val="subscript"/>
        </w:rPr>
        <w:t>2</w:t>
      </w:r>
      <w:r>
        <w:rPr>
          <w:rFonts w:ascii="Times New Roman" w:hAnsi="Times New Roman" w:eastAsia="AdvOTea1a7398"/>
          <w:kern w:val="0"/>
          <w:szCs w:val="21"/>
        </w:rPr>
        <w:t>NaInCl</w:t>
      </w:r>
      <w:r>
        <w:rPr>
          <w:rFonts w:ascii="Times New Roman" w:hAnsi="Times New Roman" w:eastAsia="AdvOTea1a7398"/>
          <w:kern w:val="0"/>
          <w:szCs w:val="21"/>
          <w:vertAlign w:val="subscript"/>
        </w:rPr>
        <w:t>6</w:t>
      </w:r>
      <w:r>
        <w:rPr>
          <w:rFonts w:ascii="Times New Roman" w:hAnsi="Times New Roman" w:eastAsia="AdvOTea1a7398"/>
          <w:kern w:val="0"/>
          <w:szCs w:val="21"/>
        </w:rPr>
        <w:t>:Ag,Bi, have attracted significant attention due to their ultra-broad warmwhite emission originating from self-trapped excitons (STEs). The soft lattice and internal effective exciton-phonon coupling effects of these materials may provide a promising avenue for realizing warm-white afterglow by addi</w:t>
      </w:r>
      <w:bookmarkStart w:id="0" w:name="_GoBack"/>
      <w:bookmarkEnd w:id="0"/>
      <w:r>
        <w:rPr>
          <w:rFonts w:ascii="Times New Roman" w:hAnsi="Times New Roman" w:eastAsia="AdvOTea1a7398"/>
          <w:kern w:val="0"/>
          <w:szCs w:val="21"/>
        </w:rPr>
        <w:t>tionally introducing effective traps. Unfortunately, the precise working mechanism of STEs for white light conversion remains unclear. And the transient production (fs- or ps-scale) and quick recombination (ns- or μs-scale) of STEs under excitation sources present challenges in exploring the behavior of intrinsic transient defect bands. Furthermore, extending STE photoluminescence to afterglow introduces further complexities. We synthesized a series of non-toxic Cs</w:t>
      </w:r>
      <w:r>
        <w:rPr>
          <w:rFonts w:ascii="Times New Roman" w:hAnsi="Times New Roman" w:eastAsia="AdvOTea1a7398"/>
          <w:kern w:val="0"/>
          <w:szCs w:val="21"/>
          <w:vertAlign w:val="subscript"/>
        </w:rPr>
        <w:t>2</w:t>
      </w:r>
      <w:r>
        <w:rPr>
          <w:rFonts w:ascii="Times New Roman" w:hAnsi="Times New Roman" w:eastAsia="AdvOTea1a7398"/>
          <w:kern w:val="0"/>
          <w:szCs w:val="21"/>
        </w:rPr>
        <w:t>NaInCl</w:t>
      </w:r>
      <w:r>
        <w:rPr>
          <w:rFonts w:ascii="Times New Roman" w:hAnsi="Times New Roman" w:eastAsia="AdvOTea1a7398"/>
          <w:kern w:val="0"/>
          <w:szCs w:val="21"/>
          <w:vertAlign w:val="subscript"/>
        </w:rPr>
        <w:t>6</w:t>
      </w:r>
      <w:r>
        <w:rPr>
          <w:rFonts w:ascii="Times New Roman" w:hAnsi="Times New Roman" w:eastAsia="AdvOTea1a7398"/>
          <w:kern w:val="0"/>
          <w:szCs w:val="21"/>
        </w:rPr>
        <w:t>:Ag,Bi afterglow phosphors under room temperature (RT) based on our previously reported hydrochloric (HCl) acid-assistant powder-to-powder (HAAPP) strategy. For the first time, we observed warm-white afterglow emissions that in line with the PL spectra, which could last over 20000 s at RT after the cessation of excitation sources. The dynamic working mechanism for the STE afterglow based on lead-free perovskites Cs</w:t>
      </w:r>
      <w:r>
        <w:rPr>
          <w:rFonts w:ascii="Times New Roman" w:hAnsi="Times New Roman" w:eastAsia="AdvOTea1a7398"/>
          <w:kern w:val="0"/>
          <w:szCs w:val="21"/>
          <w:vertAlign w:val="subscript"/>
        </w:rPr>
        <w:t>2</w:t>
      </w:r>
      <w:r>
        <w:rPr>
          <w:rFonts w:ascii="Times New Roman" w:hAnsi="Times New Roman" w:eastAsia="AdvOTea1a7398"/>
          <w:kern w:val="0"/>
          <w:szCs w:val="21"/>
        </w:rPr>
        <w:t>NaInCl</w:t>
      </w:r>
      <w:r>
        <w:rPr>
          <w:rFonts w:ascii="Times New Roman" w:hAnsi="Times New Roman" w:eastAsia="AdvOTea1a7398"/>
          <w:kern w:val="0"/>
          <w:szCs w:val="21"/>
          <w:vertAlign w:val="subscript"/>
        </w:rPr>
        <w:t>6</w:t>
      </w:r>
      <w:r>
        <w:rPr>
          <w:rFonts w:ascii="Times New Roman" w:hAnsi="Times New Roman" w:eastAsia="AdvOTea1a7398"/>
          <w:kern w:val="0"/>
          <w:szCs w:val="21"/>
        </w:rPr>
        <w:t>:Ag,Bi was concluded, in which the long-lived self-trapped states were first detected in the steady-state absorption spectra after excitation.</w:t>
      </w:r>
    </w:p>
    <w:p>
      <w:pPr>
        <w:overflowPunct w:val="0"/>
        <w:autoSpaceDE w:val="0"/>
        <w:autoSpaceDN w:val="0"/>
        <w:spacing w:line="440" w:lineRule="exact"/>
        <w:jc w:val="left"/>
        <w:rPr>
          <w:rFonts w:ascii="Times New Roman" w:hAnsi="Times New Roman"/>
          <w:b/>
          <w:bCs/>
          <w:szCs w:val="21"/>
          <w:u w:val="single"/>
        </w:rPr>
      </w:pPr>
      <w:r>
        <w:drawing>
          <wp:anchor distT="0" distB="0" distL="114300" distR="114300" simplePos="0" relativeHeight="251660288" behindDoc="1" locked="0" layoutInCell="1" allowOverlap="1">
            <wp:simplePos x="0" y="0"/>
            <wp:positionH relativeFrom="column">
              <wp:posOffset>-36830</wp:posOffset>
            </wp:positionH>
            <wp:positionV relativeFrom="paragraph">
              <wp:posOffset>105410</wp:posOffset>
            </wp:positionV>
            <wp:extent cx="810260" cy="1047750"/>
            <wp:effectExtent l="0" t="0" r="8890" b="0"/>
            <wp:wrapTight wrapText="bothSides">
              <wp:wrapPolygon>
                <wp:start x="0" y="0"/>
                <wp:lineTo x="0" y="21207"/>
                <wp:lineTo x="21329" y="21207"/>
                <wp:lineTo x="21329" y="0"/>
                <wp:lineTo x="0" y="0"/>
              </wp:wrapPolygon>
            </wp:wrapTight>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6">
                      <a:extLst>
                        <a:ext uri="{28A0092B-C50C-407E-A947-70E740481C1C}">
                          <a14:useLocalDpi xmlns:a14="http://schemas.microsoft.com/office/drawing/2010/main" val="0"/>
                        </a:ext>
                      </a:extLst>
                    </a:blip>
                    <a:srcRect l="3403" t="3315" r="7856" b="20267"/>
                    <a:stretch>
                      <a:fillRect/>
                    </a:stretch>
                  </pic:blipFill>
                  <pic:spPr>
                    <a:xfrm>
                      <a:off x="0" y="0"/>
                      <a:ext cx="810260" cy="1047750"/>
                    </a:xfrm>
                    <a:prstGeom prst="rect">
                      <a:avLst/>
                    </a:prstGeom>
                    <a:ln>
                      <a:noFill/>
                    </a:ln>
                  </pic:spPr>
                </pic:pic>
              </a:graphicData>
            </a:graphic>
          </wp:anchor>
        </w:drawing>
      </w:r>
      <w:r>
        <w:t xml:space="preserve"> </w:t>
      </w:r>
      <w:r>
        <w:rPr>
          <w:rFonts w:ascii="Times New Roman" w:hAnsi="Times New Roman"/>
          <w:b/>
          <w:bCs/>
          <w:szCs w:val="21"/>
          <w:u w:val="single"/>
        </w:rPr>
        <w:t>Short Bio:</w:t>
      </w:r>
    </w:p>
    <w:p>
      <w:pPr>
        <w:spacing w:line="280" w:lineRule="exact"/>
        <w:contextualSpacing/>
        <w:rPr>
          <w:rFonts w:ascii="Times New Roman" w:hAnsi="Times New Roman" w:eastAsia="AdvOTea1a7398"/>
          <w:kern w:val="0"/>
          <w:szCs w:val="21"/>
        </w:rPr>
      </w:pPr>
      <w:r>
        <w:rPr>
          <w:rFonts w:ascii="Times New Roman" w:hAnsi="Times New Roman"/>
          <w:b/>
          <w:w w:val="90"/>
          <w:szCs w:val="21"/>
        </w:rPr>
        <w:t xml:space="preserve">Xiyan Li </w:t>
      </w:r>
      <w:r>
        <w:rPr>
          <w:rFonts w:ascii="Times New Roman" w:hAnsi="Times New Roman"/>
          <w:bCs/>
          <w:w w:val="90"/>
          <w:szCs w:val="21"/>
        </w:rPr>
        <w:t>received her PhD degree from Changchun Institute of Applied Chemistry, Chinese Academy of Sciences in 2013. She then worked as a post-doctoral fellow at National University of Singapore and University of Toronto from 2013-2019. She is now a professor at the College of Electronic Information and Optical Engineering, Nankai University, China. Her current research focuses on the controlled synthesis, novel properties and optoelectronic applications of semiconductor nanostructures, especially metal halide pervoskite materials based optoelectronic devices.</w:t>
      </w:r>
    </w:p>
    <w:sectPr>
      <w:headerReference r:id="rId3" w:type="default"/>
      <w:footerReference r:id="rId4" w:type="default"/>
      <w:pgSz w:w="9072" w:h="13892"/>
      <w:pgMar w:top="1018" w:right="851" w:bottom="1418" w:left="1418"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MS PGothic">
    <w:altName w:val="Hiragino Sans"/>
    <w:panose1 w:val="020B0600070205080204"/>
    <w:charset w:val="80"/>
    <w:family w:val="swiss"/>
    <w:pitch w:val="default"/>
    <w:sig w:usb0="00000000" w:usb1="00000000" w:usb2="08000012" w:usb3="00000000" w:csb0="0002009F" w:csb1="00000000"/>
  </w:font>
  <w:font w:name="AdvOTea1a7398">
    <w:altName w:val="苹方-简"/>
    <w:panose1 w:val="00000000000000000000"/>
    <w:charset w:val="86"/>
    <w:family w:val="auto"/>
    <w:pitch w:val="default"/>
    <w:sig w:usb0="00000000" w:usb1="00000000" w:usb2="00000010" w:usb3="00000000" w:csb0="00040000"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Hiragino Sans">
    <w:panose1 w:val="020B0300000000000000"/>
    <w:charset w:val="80"/>
    <w:family w:val="auto"/>
    <w:pitch w:val="default"/>
    <w:sig w:usb0="E00002FF" w:usb1="7AE7FFFF" w:usb2="00000012" w:usb3="00000000" w:csb0="0002000D" w:csb1="00000000"/>
  </w:font>
  <w:font w:name="Kingsoft Sign">
    <w:panose1 w:val="05050102010706020507"/>
    <w:charset w:val="00"/>
    <w:family w:val="auto"/>
    <w:pitch w:val="default"/>
    <w:sig w:usb0="00000000" w:usb1="10000000" w:usb2="00000000" w:usb3="00000000" w:csb0="00000001"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fldChar w:fldCharType="begin"/>
    </w:r>
    <w:r>
      <w:instrText xml:space="preserve">PAGE   \* MERGEFORMAT</w:instrText>
    </w:r>
    <w:r>
      <w:fldChar w:fldCharType="separate"/>
    </w:r>
    <w:r>
      <w:rPr>
        <w:lang w:val="zh-CN"/>
      </w:rPr>
      <w:t>-</w:t>
    </w:r>
    <w:r>
      <w:t xml:space="preserve"> 1 -</w:t>
    </w:r>
    <w: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drawing>
        <wp:anchor distT="0" distB="0" distL="114300" distR="114300" simplePos="0" relativeHeight="251659264" behindDoc="0" locked="0" layoutInCell="1" allowOverlap="1">
          <wp:simplePos x="0" y="0"/>
          <wp:positionH relativeFrom="margin">
            <wp:posOffset>3490595</wp:posOffset>
          </wp:positionH>
          <wp:positionV relativeFrom="paragraph">
            <wp:posOffset>-216535</wp:posOffset>
          </wp:positionV>
          <wp:extent cx="809625" cy="349250"/>
          <wp:effectExtent l="0" t="0" r="9525" b="0"/>
          <wp:wrapNone/>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09625" cy="349250"/>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F3D"/>
    <w:rsid w:val="00021B4C"/>
    <w:rsid w:val="0003479A"/>
    <w:rsid w:val="00060120"/>
    <w:rsid w:val="00067343"/>
    <w:rsid w:val="0009048D"/>
    <w:rsid w:val="00110456"/>
    <w:rsid w:val="001A22C7"/>
    <w:rsid w:val="00241336"/>
    <w:rsid w:val="0026535C"/>
    <w:rsid w:val="002B232F"/>
    <w:rsid w:val="002B6185"/>
    <w:rsid w:val="002C04FB"/>
    <w:rsid w:val="002E4865"/>
    <w:rsid w:val="003220BE"/>
    <w:rsid w:val="0033595C"/>
    <w:rsid w:val="00393B48"/>
    <w:rsid w:val="003B3975"/>
    <w:rsid w:val="003C7BE6"/>
    <w:rsid w:val="003D0CD9"/>
    <w:rsid w:val="00404D43"/>
    <w:rsid w:val="00466898"/>
    <w:rsid w:val="00473DC4"/>
    <w:rsid w:val="004876EA"/>
    <w:rsid w:val="004879E9"/>
    <w:rsid w:val="004905A6"/>
    <w:rsid w:val="004E52B7"/>
    <w:rsid w:val="00511090"/>
    <w:rsid w:val="00565CE0"/>
    <w:rsid w:val="005803CD"/>
    <w:rsid w:val="00584E5E"/>
    <w:rsid w:val="005F37C4"/>
    <w:rsid w:val="00631F6D"/>
    <w:rsid w:val="00676DC6"/>
    <w:rsid w:val="00694E36"/>
    <w:rsid w:val="006C1B10"/>
    <w:rsid w:val="0077463B"/>
    <w:rsid w:val="00791ED8"/>
    <w:rsid w:val="007B6636"/>
    <w:rsid w:val="00807566"/>
    <w:rsid w:val="008752D3"/>
    <w:rsid w:val="008C7FC6"/>
    <w:rsid w:val="00906B0E"/>
    <w:rsid w:val="00930E39"/>
    <w:rsid w:val="0094269C"/>
    <w:rsid w:val="009434C3"/>
    <w:rsid w:val="009548FE"/>
    <w:rsid w:val="009A2ED3"/>
    <w:rsid w:val="009C6F3D"/>
    <w:rsid w:val="00A762EC"/>
    <w:rsid w:val="00AB76A6"/>
    <w:rsid w:val="00AD170D"/>
    <w:rsid w:val="00B1014E"/>
    <w:rsid w:val="00B45166"/>
    <w:rsid w:val="00B60DF6"/>
    <w:rsid w:val="00B85C02"/>
    <w:rsid w:val="00BD2324"/>
    <w:rsid w:val="00C4134A"/>
    <w:rsid w:val="00CA3C0E"/>
    <w:rsid w:val="00D11B73"/>
    <w:rsid w:val="00D56D82"/>
    <w:rsid w:val="00D91A34"/>
    <w:rsid w:val="00DD0520"/>
    <w:rsid w:val="00DD709A"/>
    <w:rsid w:val="00E002F1"/>
    <w:rsid w:val="00E30339"/>
    <w:rsid w:val="00E66C0D"/>
    <w:rsid w:val="00EC7B58"/>
    <w:rsid w:val="00F3729C"/>
    <w:rsid w:val="00F63910"/>
    <w:rsid w:val="00FA1380"/>
    <w:rsid w:val="00FC16C2"/>
    <w:rsid w:val="237348EA"/>
    <w:rsid w:val="FBFF00CE"/>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semiHidden/>
    <w:qFormat/>
    <w:uiPriority w:val="99"/>
    <w:pPr>
      <w:jc w:val="left"/>
    </w:pPr>
  </w:style>
  <w:style w:type="paragraph" w:styleId="3">
    <w:name w:val="Balloon Text"/>
    <w:basedOn w:val="1"/>
    <w:link w:val="16"/>
    <w:semiHidden/>
    <w:qFormat/>
    <w:uiPriority w:val="99"/>
    <w:rPr>
      <w:sz w:val="18"/>
      <w:szCs w:val="18"/>
    </w:rPr>
  </w:style>
  <w:style w:type="paragraph" w:styleId="4">
    <w:name w:val="footer"/>
    <w:basedOn w:val="1"/>
    <w:link w:val="13"/>
    <w:qFormat/>
    <w:uiPriority w:val="99"/>
    <w:pPr>
      <w:tabs>
        <w:tab w:val="center" w:pos="4153"/>
        <w:tab w:val="right" w:pos="8306"/>
      </w:tabs>
      <w:snapToGrid w:val="0"/>
      <w:jc w:val="left"/>
    </w:pPr>
    <w:rPr>
      <w:sz w:val="18"/>
      <w:szCs w:val="18"/>
    </w:rPr>
  </w:style>
  <w:style w:type="paragraph" w:styleId="5">
    <w:name w:val="header"/>
    <w:basedOn w:val="1"/>
    <w:link w:val="12"/>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MS PGothic" w:hAnsi="MS PGothic" w:eastAsia="MS PGothic" w:cs="MS PGothic"/>
      <w:kern w:val="0"/>
      <w:sz w:val="24"/>
      <w:szCs w:val="24"/>
      <w:lang w:eastAsia="ja-JP"/>
    </w:rPr>
  </w:style>
  <w:style w:type="paragraph" w:styleId="7">
    <w:name w:val="annotation subject"/>
    <w:basedOn w:val="2"/>
    <w:next w:val="2"/>
    <w:link w:val="15"/>
    <w:semiHidden/>
    <w:qFormat/>
    <w:uiPriority w:val="99"/>
    <w:rPr>
      <w:b/>
      <w:bCs/>
    </w:rPr>
  </w:style>
  <w:style w:type="character" w:styleId="10">
    <w:name w:val="Strong"/>
    <w:basedOn w:val="9"/>
    <w:qFormat/>
    <w:uiPriority w:val="99"/>
    <w:rPr>
      <w:rFonts w:cs="Times New Roman"/>
      <w:b/>
    </w:rPr>
  </w:style>
  <w:style w:type="character" w:styleId="11">
    <w:name w:val="annotation reference"/>
    <w:basedOn w:val="9"/>
    <w:semiHidden/>
    <w:qFormat/>
    <w:uiPriority w:val="99"/>
    <w:rPr>
      <w:rFonts w:cs="Times New Roman"/>
      <w:sz w:val="21"/>
      <w:szCs w:val="21"/>
    </w:rPr>
  </w:style>
  <w:style w:type="character" w:customStyle="1" w:styleId="12">
    <w:name w:val="页眉 字符"/>
    <w:basedOn w:val="9"/>
    <w:link w:val="5"/>
    <w:qFormat/>
    <w:locked/>
    <w:uiPriority w:val="99"/>
    <w:rPr>
      <w:rFonts w:cs="Times New Roman"/>
      <w:sz w:val="18"/>
      <w:szCs w:val="18"/>
    </w:rPr>
  </w:style>
  <w:style w:type="character" w:customStyle="1" w:styleId="13">
    <w:name w:val="页脚 字符"/>
    <w:basedOn w:val="9"/>
    <w:link w:val="4"/>
    <w:qFormat/>
    <w:locked/>
    <w:uiPriority w:val="99"/>
    <w:rPr>
      <w:rFonts w:cs="Times New Roman"/>
      <w:sz w:val="18"/>
      <w:szCs w:val="18"/>
    </w:rPr>
  </w:style>
  <w:style w:type="character" w:customStyle="1" w:styleId="14">
    <w:name w:val="批注文字 字符"/>
    <w:basedOn w:val="9"/>
    <w:link w:val="2"/>
    <w:semiHidden/>
    <w:qFormat/>
    <w:locked/>
    <w:uiPriority w:val="99"/>
    <w:rPr>
      <w:rFonts w:ascii="Calibri" w:hAnsi="Calibri" w:cs="Times New Roman"/>
    </w:rPr>
  </w:style>
  <w:style w:type="character" w:customStyle="1" w:styleId="15">
    <w:name w:val="批注主题 字符"/>
    <w:basedOn w:val="14"/>
    <w:link w:val="7"/>
    <w:semiHidden/>
    <w:qFormat/>
    <w:locked/>
    <w:uiPriority w:val="99"/>
    <w:rPr>
      <w:rFonts w:ascii="Calibri" w:hAnsi="Calibri" w:cs="Times New Roman"/>
      <w:b/>
      <w:bCs/>
    </w:rPr>
  </w:style>
  <w:style w:type="character" w:customStyle="1" w:styleId="16">
    <w:name w:val="批注框文本 字符"/>
    <w:basedOn w:val="9"/>
    <w:link w:val="3"/>
    <w:semiHidden/>
    <w:qFormat/>
    <w:locked/>
    <w:uiPriority w:val="99"/>
    <w:rPr>
      <w:rFonts w:ascii="Calibri" w:hAnsi="Calibri" w:cs="Times New Roman"/>
      <w:sz w:val="18"/>
      <w:szCs w:val="18"/>
    </w:rPr>
  </w:style>
  <w:style w:type="paragraph" w:customStyle="1" w:styleId="17">
    <w:name w:val="修订1"/>
    <w:hidden/>
    <w:semiHidden/>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Pages>
  <Words>316</Words>
  <Characters>1807</Characters>
  <Lines>15</Lines>
  <Paragraphs>4</Paragraphs>
  <TotalTime>18</TotalTime>
  <ScaleCrop>false</ScaleCrop>
  <LinksUpToDate>false</LinksUpToDate>
  <CharactersWithSpaces>2119</CharactersWithSpaces>
  <Application>WPS Office_6.3.0.8471_F1E327BC-269C-435d-A152-05C5408002CA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2024-01-17T16:27:00Z</dcterms:created>
  <dc:creator>张光</dc:creator>
  <cp:lastModifiedBy>SEA</cp:lastModifiedBy>
  <dcterms:modified xsi:type="dcterms:W3CDTF">2024-01-26T14:24:02Z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2052-6.3.0.8471</vt:lpwstr>
  </property>
  <property fmtid="{D5CDD505-2E9C-101B-9397-08002B2CF9AE}" pid="3" name="ICV">
    <vt:lpwstr>3FA1630FCF9AE0DC0250B36568985B06_42</vt:lpwstr>
  </property>
</Properties>
</file>